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D1A4C" w14:textId="57F0FAC8" w:rsidR="00301C91" w:rsidRPr="007E6BB8" w:rsidRDefault="007757FA" w:rsidP="00063FE7">
      <w:pPr>
        <w:pStyle w:val="Citazione"/>
        <w:spacing w:before="120"/>
        <w:ind w:left="0" w:right="85"/>
        <w:jc w:val="both"/>
        <w:rPr>
          <w:rFonts w:asciiTheme="majorHAnsi" w:hAnsiTheme="majorHAnsi" w:cstheme="majorHAnsi"/>
          <w:b/>
          <w:bCs/>
          <w:i w:val="0"/>
          <w:iCs w:val="0"/>
          <w:color w:val="auto"/>
          <w:spacing w:val="-6"/>
        </w:rPr>
      </w:pPr>
      <w:bookmarkStart w:id="0" w:name="OLE_LINK1"/>
      <w:bookmarkStart w:id="1" w:name="OLE_LINK2"/>
      <w:r>
        <w:rPr>
          <w:rFonts w:asciiTheme="majorHAnsi" w:hAnsiTheme="majorHAnsi"/>
          <w:b/>
          <w:i w:val="0"/>
          <w:color w:val="auto"/>
        </w:rPr>
        <w:t xml:space="preserve">Iren, the Board of Directors has approved the results as of 30 September 2025, which confirm a solid growth trend. EBITDA shows a +9% supported by the contribution of all business lines, the synergies plan and the consolidation of Egea Holding. The Group's net profit increased by 12%, partly due to the purchase of the minority stake in Iren Acqua, and total investments exceeded Euro 1.1 billion, with a 10% rise in technical investments. </w:t>
      </w:r>
      <w:r w:rsidR="008B337F" w:rsidRPr="008B337F">
        <w:rPr>
          <w:rFonts w:asciiTheme="majorHAnsi" w:hAnsiTheme="majorHAnsi"/>
          <w:b/>
          <w:i w:val="0"/>
          <w:color w:val="auto"/>
        </w:rPr>
        <w:t>We also announce that the Lead Independent Director has been appointed</w:t>
      </w:r>
      <w:r>
        <w:rPr>
          <w:rFonts w:asciiTheme="majorHAnsi" w:hAnsiTheme="majorHAnsi"/>
          <w:b/>
          <w:i w:val="0"/>
          <w:color w:val="auto"/>
        </w:rPr>
        <w:t>.</w:t>
      </w:r>
    </w:p>
    <w:p w14:paraId="5ED4E414" w14:textId="3171BB59" w:rsidR="004A10DA" w:rsidRPr="006119F5" w:rsidRDefault="00CD1E86" w:rsidP="00063FE7">
      <w:pPr>
        <w:pStyle w:val="Citazione"/>
        <w:spacing w:before="120"/>
        <w:ind w:left="0" w:right="85"/>
        <w:jc w:val="both"/>
        <w:rPr>
          <w:rFonts w:asciiTheme="majorHAnsi" w:hAnsiTheme="majorHAnsi" w:cstheme="majorHAnsi"/>
          <w:b/>
          <w:bCs/>
          <w:color w:val="auto"/>
          <w:sz w:val="22"/>
          <w:szCs w:val="22"/>
        </w:rPr>
      </w:pPr>
      <w:r>
        <w:rPr>
          <w:rFonts w:asciiTheme="majorHAnsi" w:hAnsiTheme="majorHAnsi"/>
          <w:b/>
          <w:color w:val="auto"/>
          <w:sz w:val="22"/>
        </w:rPr>
        <w:t>Main economic-financial indicators</w:t>
      </w:r>
    </w:p>
    <w:p w14:paraId="62409D6B" w14:textId="6F041186" w:rsidR="00FD3D6F" w:rsidRPr="00AF41A5" w:rsidRDefault="00FD3D6F" w:rsidP="00EC4BA7">
      <w:pPr>
        <w:pStyle w:val="Paragrafoelenco"/>
        <w:numPr>
          <w:ilvl w:val="0"/>
          <w:numId w:val="25"/>
        </w:numPr>
        <w:autoSpaceDE w:val="0"/>
        <w:autoSpaceDN w:val="0"/>
        <w:adjustRightInd w:val="0"/>
        <w:spacing w:after="68"/>
        <w:ind w:left="426"/>
        <w:jc w:val="both"/>
        <w:rPr>
          <w:rFonts w:asciiTheme="majorHAnsi" w:hAnsiTheme="majorHAnsi" w:cstheme="majorHAnsi"/>
          <w:b/>
          <w:bCs/>
          <w:sz w:val="22"/>
          <w:szCs w:val="22"/>
        </w:rPr>
      </w:pPr>
      <w:r>
        <w:rPr>
          <w:rFonts w:asciiTheme="majorHAnsi" w:hAnsiTheme="majorHAnsi"/>
          <w:b/>
          <w:sz w:val="22"/>
        </w:rPr>
        <w:t>Investments of 4,840 million euros</w:t>
      </w:r>
      <w:r>
        <w:rPr>
          <w:rFonts w:asciiTheme="majorHAnsi" w:hAnsiTheme="majorHAnsi"/>
          <w:sz w:val="22"/>
        </w:rPr>
        <w:t xml:space="preserve"> (+16% vs 30/09/2024). The increase in revenues reflects the growing energy scenario and the consolidation of Egea.</w:t>
      </w:r>
    </w:p>
    <w:p w14:paraId="3BE2DFEE" w14:textId="0C9AD604" w:rsidR="00813162" w:rsidRPr="004E716A" w:rsidRDefault="00B23625" w:rsidP="00EC4BA7">
      <w:pPr>
        <w:pStyle w:val="Paragrafoelenco"/>
        <w:numPr>
          <w:ilvl w:val="0"/>
          <w:numId w:val="25"/>
        </w:numPr>
        <w:autoSpaceDE w:val="0"/>
        <w:autoSpaceDN w:val="0"/>
        <w:adjustRightInd w:val="0"/>
        <w:spacing w:after="68"/>
        <w:ind w:left="426"/>
        <w:jc w:val="both"/>
        <w:rPr>
          <w:rFonts w:asciiTheme="majorHAnsi" w:hAnsiTheme="majorHAnsi" w:cstheme="majorHAnsi"/>
          <w:sz w:val="22"/>
          <w:szCs w:val="22"/>
        </w:rPr>
      </w:pPr>
      <w:r>
        <w:rPr>
          <w:rFonts w:asciiTheme="majorHAnsi" w:hAnsiTheme="majorHAnsi"/>
          <w:b/>
          <w:sz w:val="22"/>
        </w:rPr>
        <w:t>Gross Operating Margin (EBITDA) of 1,003 million euros</w:t>
      </w:r>
      <w:r>
        <w:rPr>
          <w:rFonts w:asciiTheme="majorHAnsi" w:hAnsiTheme="majorHAnsi"/>
          <w:sz w:val="22"/>
        </w:rPr>
        <w:t xml:space="preserve"> (+9% vs 30/09/2024). The increase is supported by the consolidation of Egea Holding, by the organic growth of regulated businesses (Networks and Environment), and by a synergies plan contributing Euro 16 million during the period, counterbalanced by reduced volumes and margins in renewable generation and gas sales.</w:t>
      </w:r>
    </w:p>
    <w:p w14:paraId="4A63FE9F" w14:textId="36CBE87B" w:rsidR="00B23625" w:rsidRPr="004E716A" w:rsidRDefault="00B23625" w:rsidP="00813162">
      <w:pPr>
        <w:pStyle w:val="Paragrafoelenco"/>
        <w:numPr>
          <w:ilvl w:val="0"/>
          <w:numId w:val="25"/>
        </w:numPr>
        <w:autoSpaceDE w:val="0"/>
        <w:autoSpaceDN w:val="0"/>
        <w:adjustRightInd w:val="0"/>
        <w:spacing w:after="68"/>
        <w:ind w:left="426"/>
        <w:jc w:val="both"/>
        <w:rPr>
          <w:rFonts w:asciiTheme="majorHAnsi" w:hAnsiTheme="majorHAnsi" w:cstheme="majorHAnsi"/>
          <w:sz w:val="22"/>
          <w:szCs w:val="22"/>
        </w:rPr>
      </w:pPr>
      <w:r>
        <w:rPr>
          <w:rFonts w:asciiTheme="majorHAnsi" w:hAnsiTheme="majorHAnsi"/>
          <w:b/>
          <w:sz w:val="22"/>
        </w:rPr>
        <w:t>Group net profit attributable to shareholders amounted to 219 million euros</w:t>
      </w:r>
      <w:r>
        <w:rPr>
          <w:rFonts w:asciiTheme="majorHAnsi" w:hAnsiTheme="majorHAnsi"/>
          <w:sz w:val="22"/>
        </w:rPr>
        <w:t xml:space="preserve">, a decrease (+12% vs 30/09/2024). The positive trend reflects the growth in EBITDA and benefits from the lower net profit attributable to third parties due to the acquisition of the minority stake in the company Iren Acqua, and from a 28% tax rate reduced by extraordinary, non-replicable effects. </w:t>
      </w:r>
    </w:p>
    <w:p w14:paraId="792BF300" w14:textId="6574B3EE" w:rsidR="00B23625" w:rsidRPr="007D28F7" w:rsidRDefault="00B23625" w:rsidP="00EC4BA7">
      <w:pPr>
        <w:pStyle w:val="Paragrafoelenco"/>
        <w:numPr>
          <w:ilvl w:val="0"/>
          <w:numId w:val="25"/>
        </w:numPr>
        <w:autoSpaceDE w:val="0"/>
        <w:autoSpaceDN w:val="0"/>
        <w:adjustRightInd w:val="0"/>
        <w:spacing w:after="68"/>
        <w:ind w:left="426"/>
        <w:jc w:val="both"/>
        <w:rPr>
          <w:rFonts w:asciiTheme="majorHAnsi" w:hAnsiTheme="majorHAnsi" w:cstheme="majorHAnsi"/>
          <w:sz w:val="22"/>
          <w:szCs w:val="22"/>
        </w:rPr>
      </w:pPr>
      <w:r>
        <w:rPr>
          <w:rFonts w:asciiTheme="majorHAnsi" w:hAnsiTheme="majorHAnsi"/>
          <w:b/>
          <w:sz w:val="22"/>
        </w:rPr>
        <w:t xml:space="preserve">Net financial debt amounted to 4,287 million euros </w:t>
      </w:r>
      <w:r w:rsidRPr="004B6893">
        <w:rPr>
          <w:rFonts w:asciiTheme="majorHAnsi" w:hAnsiTheme="majorHAnsi"/>
          <w:sz w:val="22"/>
        </w:rPr>
        <w:t>(+5% vs</w:t>
      </w:r>
      <w:r>
        <w:rPr>
          <w:rFonts w:asciiTheme="majorHAnsi" w:hAnsiTheme="majorHAnsi"/>
          <w:sz w:val="22"/>
        </w:rPr>
        <w:t xml:space="preserve"> 31/12/2024). The increase in the period is mainly attributable to the seasonal expansion of net working capital. </w:t>
      </w:r>
    </w:p>
    <w:p w14:paraId="6CB1C4AE" w14:textId="694241D9" w:rsidR="004B632F" w:rsidRPr="007D28F7" w:rsidRDefault="00B23625" w:rsidP="00EC4BA7">
      <w:pPr>
        <w:pStyle w:val="Paragrafoelenco"/>
        <w:numPr>
          <w:ilvl w:val="0"/>
          <w:numId w:val="25"/>
        </w:numPr>
        <w:autoSpaceDE w:val="0"/>
        <w:autoSpaceDN w:val="0"/>
        <w:adjustRightInd w:val="0"/>
        <w:spacing w:after="68"/>
        <w:ind w:left="426"/>
        <w:jc w:val="both"/>
        <w:rPr>
          <w:rFonts w:asciiTheme="majorHAnsi" w:hAnsiTheme="majorHAnsi" w:cstheme="majorHAnsi"/>
          <w:sz w:val="22"/>
          <w:szCs w:val="22"/>
        </w:rPr>
      </w:pPr>
      <w:r>
        <w:rPr>
          <w:rFonts w:asciiTheme="majorHAnsi" w:hAnsiTheme="majorHAnsi"/>
          <w:sz w:val="22"/>
        </w:rPr>
        <w:t xml:space="preserve">Technical investments amounted to 613 million euros (+10% vs 30/09/2024) intended mainly for the modernisation of the water and electricity networks, the development of the municipal waste collection and treatment chain, the extension of the district heating network and the Group's information systems. </w:t>
      </w:r>
    </w:p>
    <w:p w14:paraId="5CDAD158" w14:textId="013CF497" w:rsidR="00D2682E" w:rsidRPr="007D28F7" w:rsidRDefault="00D2682E" w:rsidP="00EC4BA7">
      <w:pPr>
        <w:pStyle w:val="Paragrafoelenco"/>
        <w:numPr>
          <w:ilvl w:val="0"/>
          <w:numId w:val="25"/>
        </w:numPr>
        <w:autoSpaceDE w:val="0"/>
        <w:autoSpaceDN w:val="0"/>
        <w:adjustRightInd w:val="0"/>
        <w:spacing w:after="68"/>
        <w:ind w:left="426"/>
        <w:jc w:val="both"/>
        <w:rPr>
          <w:rFonts w:asciiTheme="majorHAnsi" w:hAnsiTheme="majorHAnsi" w:cstheme="majorHAnsi"/>
          <w:sz w:val="22"/>
          <w:szCs w:val="22"/>
        </w:rPr>
      </w:pPr>
      <w:r>
        <w:rPr>
          <w:rFonts w:asciiTheme="majorHAnsi" w:hAnsiTheme="majorHAnsi"/>
          <w:b/>
          <w:sz w:val="22"/>
        </w:rPr>
        <w:t>Financial investments amounting to Euro 511 million</w:t>
      </w:r>
      <w:r>
        <w:rPr>
          <w:rFonts w:asciiTheme="majorHAnsi" w:hAnsiTheme="majorHAnsi"/>
          <w:sz w:val="22"/>
        </w:rPr>
        <w:t> primarily include the acquisition the minority stake in Iren Acqua for Euro 283 million, the exercise of a call option for the complete purchase, and the consolidation of Egea Holding's net financial indebtedness. These investments were financed by the issuance, in January 2025, of a Euro 500 million hybrid bond.</w:t>
      </w:r>
    </w:p>
    <w:p w14:paraId="3E4D6475" w14:textId="31D0CCBA" w:rsidR="000E51B2" w:rsidRPr="007D28F7" w:rsidRDefault="000E51B2" w:rsidP="00EC4BA7">
      <w:pPr>
        <w:pStyle w:val="Citazione"/>
        <w:spacing w:before="120"/>
        <w:ind w:left="0" w:right="85"/>
        <w:jc w:val="both"/>
        <w:rPr>
          <w:rFonts w:asciiTheme="majorHAnsi" w:hAnsiTheme="majorHAnsi" w:cstheme="majorHAnsi"/>
          <w:b/>
          <w:bCs/>
          <w:color w:val="auto"/>
          <w:sz w:val="22"/>
          <w:szCs w:val="22"/>
        </w:rPr>
      </w:pPr>
      <w:r>
        <w:rPr>
          <w:rFonts w:asciiTheme="majorHAnsi" w:hAnsiTheme="majorHAnsi"/>
          <w:b/>
          <w:color w:val="auto"/>
          <w:sz w:val="22"/>
        </w:rPr>
        <w:t>Main sustainability indicators</w:t>
      </w:r>
    </w:p>
    <w:p w14:paraId="68415C8E" w14:textId="70462C90" w:rsidR="007D02CF" w:rsidRPr="00FB2178" w:rsidRDefault="007D02CF" w:rsidP="00EC4BA7">
      <w:pPr>
        <w:pStyle w:val="Paragrafoelenco"/>
        <w:numPr>
          <w:ilvl w:val="0"/>
          <w:numId w:val="25"/>
        </w:numPr>
        <w:autoSpaceDE w:val="0"/>
        <w:autoSpaceDN w:val="0"/>
        <w:adjustRightInd w:val="0"/>
        <w:spacing w:after="68"/>
        <w:ind w:left="425" w:hanging="357"/>
        <w:jc w:val="both"/>
        <w:rPr>
          <w:rFonts w:asciiTheme="majorHAnsi" w:hAnsiTheme="majorHAnsi" w:cstheme="majorHAnsi"/>
          <w:color w:val="000000" w:themeColor="text1"/>
          <w:sz w:val="22"/>
          <w:szCs w:val="22"/>
        </w:rPr>
      </w:pPr>
      <w:r>
        <w:rPr>
          <w:rFonts w:asciiTheme="majorHAnsi" w:hAnsiTheme="majorHAnsi"/>
          <w:b/>
          <w:color w:val="000000" w:themeColor="text1"/>
          <w:sz w:val="22"/>
        </w:rPr>
        <w:t xml:space="preserve">Sustainable investments (eligible for European taxonomy) of 68%, </w:t>
      </w:r>
      <w:r>
        <w:rPr>
          <w:rFonts w:asciiTheme="majorHAnsi" w:hAnsiTheme="majorHAnsi"/>
          <w:color w:val="000000" w:themeColor="text1"/>
          <w:sz w:val="22"/>
        </w:rPr>
        <w:t>in line with the Business Plan</w:t>
      </w:r>
    </w:p>
    <w:p w14:paraId="01CE04F1" w14:textId="7999B9BE" w:rsidR="00295EBC" w:rsidRPr="00A93718" w:rsidRDefault="00295EBC" w:rsidP="00295EBC">
      <w:pPr>
        <w:pStyle w:val="Paragrafoelenco"/>
        <w:numPr>
          <w:ilvl w:val="0"/>
          <w:numId w:val="25"/>
        </w:numPr>
        <w:autoSpaceDE w:val="0"/>
        <w:autoSpaceDN w:val="0"/>
        <w:adjustRightInd w:val="0"/>
        <w:spacing w:after="68"/>
        <w:ind w:left="425" w:hanging="357"/>
        <w:jc w:val="both"/>
        <w:rPr>
          <w:rFonts w:asciiTheme="majorHAnsi" w:hAnsiTheme="majorHAnsi" w:cstheme="majorHAnsi"/>
          <w:sz w:val="22"/>
          <w:szCs w:val="22"/>
        </w:rPr>
      </w:pPr>
      <w:r>
        <w:rPr>
          <w:rFonts w:asciiTheme="majorHAnsi" w:hAnsiTheme="majorHAnsi"/>
          <w:b/>
          <w:sz w:val="22"/>
        </w:rPr>
        <w:t>Carbon intensity</w:t>
      </w:r>
      <w:r>
        <w:rPr>
          <w:rFonts w:asciiTheme="majorHAnsi" w:hAnsiTheme="majorHAnsi"/>
          <w:sz w:val="22"/>
        </w:rPr>
        <w:t xml:space="preserve"> </w:t>
      </w:r>
      <w:r>
        <w:rPr>
          <w:rFonts w:asciiTheme="majorHAnsi" w:hAnsiTheme="majorHAnsi"/>
          <w:b/>
          <w:sz w:val="22"/>
        </w:rPr>
        <w:t>of 320 gCO</w:t>
      </w:r>
      <w:r>
        <w:rPr>
          <w:rFonts w:asciiTheme="majorHAnsi" w:hAnsiTheme="majorHAnsi"/>
          <w:b/>
          <w:sz w:val="22"/>
          <w:vertAlign w:val="subscript"/>
        </w:rPr>
        <w:t>2</w:t>
      </w:r>
      <w:r>
        <w:rPr>
          <w:rFonts w:asciiTheme="majorHAnsi" w:hAnsiTheme="majorHAnsi"/>
          <w:b/>
          <w:sz w:val="22"/>
        </w:rPr>
        <w:t>/kWh</w:t>
      </w:r>
      <w:r>
        <w:rPr>
          <w:rFonts w:asciiTheme="majorHAnsi" w:hAnsiTheme="majorHAnsi"/>
          <w:sz w:val="22"/>
        </w:rPr>
        <w:t>, slightly down from last year (-1%)</w:t>
      </w:r>
    </w:p>
    <w:p w14:paraId="508E5D1A" w14:textId="2350D226" w:rsidR="000E51B2" w:rsidRPr="00A93718" w:rsidRDefault="009A5313" w:rsidP="00EC4BA7">
      <w:pPr>
        <w:pStyle w:val="Paragrafoelenco"/>
        <w:numPr>
          <w:ilvl w:val="0"/>
          <w:numId w:val="25"/>
        </w:numPr>
        <w:autoSpaceDE w:val="0"/>
        <w:autoSpaceDN w:val="0"/>
        <w:adjustRightInd w:val="0"/>
        <w:spacing w:after="68"/>
        <w:ind w:left="425" w:hanging="357"/>
        <w:jc w:val="both"/>
        <w:rPr>
          <w:rFonts w:asciiTheme="majorHAnsi" w:hAnsiTheme="majorHAnsi" w:cstheme="majorHAnsi"/>
          <w:sz w:val="22"/>
          <w:szCs w:val="22"/>
        </w:rPr>
      </w:pPr>
      <w:r>
        <w:rPr>
          <w:rFonts w:asciiTheme="majorHAnsi" w:hAnsiTheme="majorHAnsi"/>
          <w:b/>
          <w:sz w:val="22"/>
        </w:rPr>
        <w:t>70% separate collection</w:t>
      </w:r>
      <w:r>
        <w:rPr>
          <w:rFonts w:asciiTheme="majorHAnsi" w:hAnsiTheme="majorHAnsi"/>
          <w:sz w:val="22"/>
        </w:rPr>
        <w:t>, thanks to the extension of best practices in all the territories served</w:t>
      </w:r>
    </w:p>
    <w:p w14:paraId="683049E5" w14:textId="0862A6DE" w:rsidR="00B51414" w:rsidRPr="00A93718" w:rsidRDefault="00B51414" w:rsidP="00295EBC">
      <w:pPr>
        <w:pStyle w:val="Paragrafoelenco"/>
        <w:numPr>
          <w:ilvl w:val="0"/>
          <w:numId w:val="25"/>
        </w:numPr>
        <w:autoSpaceDE w:val="0"/>
        <w:autoSpaceDN w:val="0"/>
        <w:adjustRightInd w:val="0"/>
        <w:spacing w:after="68"/>
        <w:ind w:left="425" w:hanging="357"/>
        <w:jc w:val="both"/>
        <w:rPr>
          <w:rFonts w:asciiTheme="majorHAnsi" w:hAnsiTheme="majorHAnsi" w:cstheme="majorHAnsi"/>
          <w:b/>
          <w:sz w:val="22"/>
          <w:szCs w:val="22"/>
        </w:rPr>
      </w:pPr>
      <w:r>
        <w:rPr>
          <w:rFonts w:asciiTheme="majorHAnsi" w:hAnsiTheme="majorHAnsi"/>
          <w:sz w:val="22"/>
        </w:rPr>
        <w:t xml:space="preserve">Increase in </w:t>
      </w:r>
      <w:r>
        <w:rPr>
          <w:rFonts w:asciiTheme="majorHAnsi" w:hAnsiTheme="majorHAnsi"/>
          <w:b/>
          <w:sz w:val="22"/>
        </w:rPr>
        <w:t>district heating volume</w:t>
      </w:r>
      <w:r>
        <w:rPr>
          <w:rFonts w:asciiTheme="majorHAnsi" w:hAnsiTheme="majorHAnsi"/>
          <w:sz w:val="22"/>
        </w:rPr>
        <w:t xml:space="preserve"> of </w:t>
      </w:r>
      <w:r>
        <w:rPr>
          <w:rFonts w:asciiTheme="majorHAnsi" w:hAnsiTheme="majorHAnsi"/>
          <w:b/>
          <w:sz w:val="22"/>
        </w:rPr>
        <w:t>+12%</w:t>
      </w:r>
      <w:r>
        <w:rPr>
          <w:rFonts w:asciiTheme="majorHAnsi" w:hAnsiTheme="majorHAnsi"/>
          <w:sz w:val="22"/>
        </w:rPr>
        <w:t xml:space="preserve"> vs. 30/09/2024 thanks also to the consolidation of Egea Holding</w:t>
      </w:r>
    </w:p>
    <w:p w14:paraId="6D96F122" w14:textId="132735B6" w:rsidR="004A10DA" w:rsidRPr="00A93718" w:rsidRDefault="00CF4822" w:rsidP="00EC4BA7">
      <w:pPr>
        <w:pStyle w:val="Paragrafoelenco"/>
        <w:numPr>
          <w:ilvl w:val="0"/>
          <w:numId w:val="25"/>
        </w:numPr>
        <w:autoSpaceDE w:val="0"/>
        <w:autoSpaceDN w:val="0"/>
        <w:adjustRightInd w:val="0"/>
        <w:ind w:left="426"/>
        <w:jc w:val="both"/>
        <w:rPr>
          <w:rFonts w:asciiTheme="majorHAnsi" w:hAnsiTheme="majorHAnsi" w:cstheme="majorHAnsi"/>
          <w:sz w:val="22"/>
          <w:szCs w:val="22"/>
        </w:rPr>
      </w:pPr>
      <w:r>
        <w:rPr>
          <w:rFonts w:asciiTheme="majorHAnsi" w:hAnsiTheme="majorHAnsi"/>
          <w:sz w:val="22"/>
        </w:rPr>
        <w:t xml:space="preserve">The total number of Group </w:t>
      </w:r>
      <w:r>
        <w:rPr>
          <w:rFonts w:asciiTheme="majorHAnsi" w:hAnsiTheme="majorHAnsi"/>
          <w:b/>
          <w:sz w:val="22"/>
        </w:rPr>
        <w:t>employees</w:t>
      </w:r>
      <w:r>
        <w:rPr>
          <w:rFonts w:asciiTheme="majorHAnsi" w:hAnsiTheme="majorHAnsi"/>
          <w:sz w:val="22"/>
        </w:rPr>
        <w:t xml:space="preserve"> reaches almost 12,000 people</w:t>
      </w:r>
      <w:r>
        <w:rPr>
          <w:noProof/>
        </w:rPr>
        <mc:AlternateContent>
          <mc:Choice Requires="wps">
            <w:drawing>
              <wp:anchor distT="4294967295" distB="4294967295" distL="114300" distR="114300" simplePos="0" relativeHeight="251658241" behindDoc="0" locked="1" layoutInCell="1" allowOverlap="0" wp14:anchorId="1977CF34" wp14:editId="20F1F542">
                <wp:simplePos x="0" y="0"/>
                <wp:positionH relativeFrom="margin">
                  <wp:posOffset>-80010</wp:posOffset>
                </wp:positionH>
                <wp:positionV relativeFrom="page">
                  <wp:posOffset>8903335</wp:posOffset>
                </wp:positionV>
                <wp:extent cx="581469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695" cy="0"/>
                        </a:xfrm>
                        <a:prstGeom prst="straightConnector1">
                          <a:avLst/>
                        </a:prstGeom>
                        <a:noFill/>
                        <a:ln w="12700">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01D6F2" id="_x0000_t32" coordsize="21600,21600" o:spt="32" o:oned="t" path="m,l21600,21600e" filled="f">
                <v:path arrowok="t" fillok="f" o:connecttype="none"/>
                <o:lock v:ext="edit" shapetype="t"/>
              </v:shapetype>
              <v:shape id="Straight Arrow Connector 4" o:spid="_x0000_s1026" type="#_x0000_t32" style="position:absolute;margin-left:-6.3pt;margin-top:701.05pt;width:457.85pt;height:0;z-index:25165824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" o:allowoverlap="f" strokecolor="#2e74b5" strokeweight="1pt">
                <w10:wrap anchorx="margin" anchory="page"/>
                <w10:anchorlock/>
              </v:shape>
            </w:pict>
          </mc:Fallback>
        </mc:AlternateContent>
      </w:r>
      <w:r>
        <w:rPr>
          <w:noProof/>
        </w:rPr>
        <mc:AlternateContent>
          <mc:Choice Requires="wps">
            <w:drawing>
              <wp:anchor distT="4294967295" distB="4294967295" distL="114300" distR="114300" simplePos="0" relativeHeight="251658240" behindDoc="0" locked="1" layoutInCell="1" allowOverlap="0" wp14:anchorId="23FF8F98" wp14:editId="1ADAD102">
                <wp:simplePos x="0" y="0"/>
                <wp:positionH relativeFrom="margin">
                  <wp:posOffset>-80010</wp:posOffset>
                </wp:positionH>
                <wp:positionV relativeFrom="page">
                  <wp:posOffset>8599805</wp:posOffset>
                </wp:positionV>
                <wp:extent cx="5814695"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695" cy="0"/>
                        </a:xfrm>
                        <a:prstGeom prst="straightConnector1">
                          <a:avLst/>
                        </a:prstGeom>
                        <a:noFill/>
                        <a:ln w="12700">
                          <a:solidFill>
                            <a:srgbClr val="2E74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5BDD1" id="Straight Arrow Connector 1" o:spid="_x0000_s1026" type="#_x0000_t32" style="position:absolute;margin-left:-6.3pt;margin-top:677.15pt;width:457.85pt;height:0;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" o:allowoverlap="f" strokecolor="#2e74b5" strokeweight="1pt">
                <w10:wrap anchorx="margin" anchory="page"/>
                <w10:anchorlock/>
              </v:shape>
            </w:pict>
          </mc:Fallback>
        </mc:AlternateContent>
      </w:r>
      <w:r>
        <w:rPr>
          <w:rFonts w:asciiTheme="majorHAnsi" w:hAnsiTheme="majorHAnsi"/>
          <w:sz w:val="22"/>
        </w:rPr>
        <w:t xml:space="preserve"> </w:t>
      </w:r>
    </w:p>
    <w:tbl>
      <w:tblPr>
        <w:tblpPr w:leftFromText="142" w:rightFromText="142" w:vertAnchor="page" w:horzAnchor="margin" w:tblpY="13696"/>
        <w:tblOverlap w:val="never"/>
        <w:tblW w:w="0" w:type="auto"/>
        <w:tblLook w:val="04A0" w:firstRow="1" w:lastRow="0" w:firstColumn="1" w:lastColumn="0" w:noHBand="0" w:noVBand="1"/>
      </w:tblPr>
      <w:tblGrid>
        <w:gridCol w:w="2215"/>
        <w:gridCol w:w="2218"/>
        <w:gridCol w:w="2219"/>
        <w:gridCol w:w="2219"/>
      </w:tblGrid>
      <w:tr w:rsidR="00A93718" w:rsidRPr="00A93718" w14:paraId="3425DFDD" w14:textId="77777777" w:rsidTr="00CB20E5">
        <w:trPr>
          <w:trHeight w:val="750"/>
        </w:trPr>
        <w:tc>
          <w:tcPr>
            <w:tcW w:w="2215" w:type="dxa"/>
          </w:tcPr>
          <w:p w14:paraId="168D43EE" w14:textId="77777777" w:rsidR="00B127F2" w:rsidRPr="00A93718" w:rsidRDefault="00B127F2" w:rsidP="00874159">
            <w:pPr>
              <w:autoSpaceDE w:val="0"/>
              <w:autoSpaceDN w:val="0"/>
              <w:adjustRightInd w:val="0"/>
              <w:spacing w:after="60"/>
              <w:rPr>
                <w:rFonts w:ascii="Arial" w:hAnsi="Arial" w:cs="Arial"/>
                <w:b/>
                <w:color w:val="0070C0"/>
                <w:sz w:val="17"/>
                <w:szCs w:val="17"/>
              </w:rPr>
            </w:pPr>
            <w:hyperlink r:id="rId12" w:history="1">
              <w:r>
                <w:rPr>
                  <w:rStyle w:val="Collegamentoipertestuale"/>
                  <w:rFonts w:ascii="Arial" w:hAnsi="Arial"/>
                  <w:b/>
                  <w:color w:val="0070C0"/>
                  <w:sz w:val="17"/>
                </w:rPr>
                <w:t>Iren Group</w:t>
              </w:r>
            </w:hyperlink>
          </w:p>
        </w:tc>
        <w:tc>
          <w:tcPr>
            <w:tcW w:w="2218" w:type="dxa"/>
          </w:tcPr>
          <w:p w14:paraId="4473BF21" w14:textId="77777777" w:rsidR="00B127F2" w:rsidRPr="00A93718" w:rsidRDefault="00B127F2" w:rsidP="00874159">
            <w:pPr>
              <w:autoSpaceDE w:val="0"/>
              <w:autoSpaceDN w:val="0"/>
              <w:adjustRightInd w:val="0"/>
              <w:spacing w:after="60"/>
              <w:rPr>
                <w:rFonts w:ascii="Arial" w:hAnsi="Arial" w:cs="Arial"/>
                <w:b/>
                <w:color w:val="0070C0"/>
                <w:sz w:val="17"/>
                <w:szCs w:val="17"/>
                <w:u w:val="single"/>
              </w:rPr>
            </w:pPr>
            <w:hyperlink r:id="rId13" w:history="1">
              <w:r>
                <w:rPr>
                  <w:rStyle w:val="Collegamentoipertestuale"/>
                  <w:rFonts w:ascii="Arial" w:hAnsi="Arial"/>
                  <w:b/>
                  <w:color w:val="0070C0"/>
                  <w:sz w:val="17"/>
                </w:rPr>
                <w:t>Images</w:t>
              </w:r>
            </w:hyperlink>
          </w:p>
        </w:tc>
        <w:tc>
          <w:tcPr>
            <w:tcW w:w="2219" w:type="dxa"/>
          </w:tcPr>
          <w:p w14:paraId="27781B46" w14:textId="77777777" w:rsidR="00B127F2" w:rsidRPr="00A93718" w:rsidRDefault="00B127F2" w:rsidP="00874159">
            <w:pPr>
              <w:autoSpaceDE w:val="0"/>
              <w:autoSpaceDN w:val="0"/>
              <w:adjustRightInd w:val="0"/>
              <w:spacing w:after="60"/>
              <w:rPr>
                <w:rFonts w:ascii="Arial" w:hAnsi="Arial" w:cs="Arial"/>
                <w:b/>
                <w:color w:val="0070C0"/>
                <w:sz w:val="17"/>
                <w:szCs w:val="17"/>
              </w:rPr>
            </w:pPr>
            <w:hyperlink r:id="rId14" w:history="1">
              <w:r>
                <w:rPr>
                  <w:rStyle w:val="Collegamentoipertestuale"/>
                  <w:rFonts w:ascii="Arial" w:hAnsi="Arial"/>
                  <w:b/>
                  <w:color w:val="0070C0"/>
                  <w:sz w:val="17"/>
                </w:rPr>
                <w:t>Investor Relations Area</w:t>
              </w:r>
            </w:hyperlink>
          </w:p>
        </w:tc>
        <w:tc>
          <w:tcPr>
            <w:tcW w:w="2219" w:type="dxa"/>
          </w:tcPr>
          <w:p w14:paraId="45BB0E71" w14:textId="77777777" w:rsidR="00B127F2" w:rsidRPr="00A93718" w:rsidRDefault="00B127F2" w:rsidP="00874159">
            <w:pPr>
              <w:autoSpaceDE w:val="0"/>
              <w:autoSpaceDN w:val="0"/>
              <w:adjustRightInd w:val="0"/>
              <w:spacing w:after="60"/>
              <w:jc w:val="right"/>
              <w:rPr>
                <w:rFonts w:ascii="Arial" w:hAnsi="Arial" w:cs="Arial"/>
                <w:color w:val="0070C0"/>
                <w:sz w:val="17"/>
                <w:szCs w:val="17"/>
              </w:rPr>
            </w:pPr>
            <w:hyperlink r:id="rId15" w:history="1">
              <w:r>
                <w:rPr>
                  <w:rStyle w:val="Collegamentoipertestuale"/>
                  <w:rFonts w:ascii="Arial" w:hAnsi="Arial"/>
                  <w:b/>
                  <w:color w:val="0070C0"/>
                  <w:sz w:val="17"/>
                </w:rPr>
                <w:t>Iren Overview</w:t>
              </w:r>
            </w:hyperlink>
          </w:p>
        </w:tc>
      </w:tr>
      <w:bookmarkEnd w:id="0"/>
      <w:bookmarkEnd w:id="1"/>
    </w:tbl>
    <w:p w14:paraId="35E186C9" w14:textId="7AA9A7AB" w:rsidR="001A2BE7" w:rsidRPr="00A93718" w:rsidRDefault="001A2BE7">
      <w:pPr>
        <w:rPr>
          <w:rFonts w:asciiTheme="majorHAnsi" w:hAnsiTheme="majorHAnsi" w:cstheme="majorHAnsi"/>
          <w:i/>
          <w:sz w:val="22"/>
          <w:szCs w:val="22"/>
        </w:rPr>
      </w:pPr>
    </w:p>
    <w:p w14:paraId="044E653E" w14:textId="77777777" w:rsidR="00B724B3" w:rsidRPr="00A93718" w:rsidRDefault="00B724B3">
      <w:pPr>
        <w:rPr>
          <w:rFonts w:asciiTheme="majorHAnsi" w:hAnsiTheme="majorHAnsi" w:cstheme="majorHAnsi"/>
          <w:i/>
          <w:sz w:val="22"/>
          <w:szCs w:val="22"/>
        </w:rPr>
      </w:pPr>
      <w:r>
        <w:br w:type="page"/>
      </w:r>
    </w:p>
    <w:p w14:paraId="1C9DB65B" w14:textId="70731F0F" w:rsidR="004A10DA" w:rsidRPr="0003068D" w:rsidRDefault="004A10DA" w:rsidP="00B22112">
      <w:pPr>
        <w:autoSpaceDE w:val="0"/>
        <w:autoSpaceDN w:val="0"/>
        <w:adjustRightInd w:val="0"/>
        <w:spacing w:before="120" w:line="276" w:lineRule="auto"/>
        <w:contextualSpacing/>
        <w:jc w:val="both"/>
        <w:rPr>
          <w:rFonts w:asciiTheme="majorHAnsi" w:hAnsiTheme="majorHAnsi" w:cstheme="majorHAnsi"/>
          <w:color w:val="000000" w:themeColor="text1"/>
          <w:sz w:val="22"/>
          <w:szCs w:val="22"/>
        </w:rPr>
      </w:pPr>
      <w:r>
        <w:rPr>
          <w:rFonts w:asciiTheme="majorHAnsi" w:hAnsiTheme="majorHAnsi"/>
          <w:i/>
          <w:color w:val="000000" w:themeColor="text1"/>
          <w:sz w:val="22"/>
        </w:rPr>
        <w:lastRenderedPageBreak/>
        <w:t>Reggio Emilia, 13 November 2025</w:t>
      </w:r>
      <w:r>
        <w:rPr>
          <w:rFonts w:asciiTheme="majorHAnsi" w:hAnsiTheme="majorHAnsi"/>
          <w:color w:val="000000" w:themeColor="text1"/>
          <w:sz w:val="22"/>
        </w:rPr>
        <w:t xml:space="preserve"> - Today, the Board of Directors of IREN S.p.A. approved the consolidated financial statements at 30 September 2025.</w:t>
      </w:r>
    </w:p>
    <w:p w14:paraId="25482994" w14:textId="77777777" w:rsidR="00B45362" w:rsidRPr="0003068D" w:rsidRDefault="00B45362" w:rsidP="00BC3D37">
      <w:pPr>
        <w:autoSpaceDE w:val="0"/>
        <w:autoSpaceDN w:val="0"/>
        <w:adjustRightInd w:val="0"/>
        <w:jc w:val="both"/>
        <w:rPr>
          <w:rFonts w:asciiTheme="majorHAnsi" w:hAnsiTheme="majorHAnsi" w:cstheme="majorHAnsi"/>
          <w:color w:val="EE0000"/>
          <w:sz w:val="22"/>
          <w:szCs w:val="22"/>
        </w:rPr>
      </w:pPr>
    </w:p>
    <w:p w14:paraId="6E4B6170" w14:textId="4CD4A271" w:rsidR="004B3C80" w:rsidRPr="0003068D" w:rsidRDefault="002F58A3" w:rsidP="004B3C80">
      <w:pPr>
        <w:jc w:val="both"/>
        <w:rPr>
          <w:rFonts w:asciiTheme="majorHAnsi" w:hAnsiTheme="majorHAnsi" w:cstheme="majorHAnsi"/>
          <w:i/>
          <w:color w:val="EE0000"/>
          <w:sz w:val="22"/>
          <w:szCs w:val="22"/>
        </w:rPr>
      </w:pPr>
      <w:r>
        <w:rPr>
          <w:rFonts w:asciiTheme="majorHAnsi" w:hAnsiTheme="majorHAnsi"/>
          <w:b/>
          <w:sz w:val="22"/>
        </w:rPr>
        <w:t xml:space="preserve">Luca Dal Fabbro, Chair of the Group, said: </w:t>
      </w:r>
      <w:r>
        <w:rPr>
          <w:rFonts w:asciiTheme="majorHAnsi" w:hAnsiTheme="majorHAnsi"/>
          <w:i/>
          <w:sz w:val="22"/>
        </w:rPr>
        <w:t>"The results for the period are very positive, reflecting the efficacy of our strategy and the quality of our management, marked by a 9% growth in EBITDA and a 12% increase in net profit. We have effectively maintained a strong balance between organic and inorganic growth, enhancing the synergies among the different business areas. We uphold the guidance for the current financial year, predicting—as previously anticipated—a more moderate growth in the remaining part of the year. In particular, we expect a 2025 EBITDA of Euro 1,350 million, a net profit of Euro 300 million, and technical investments exceeding Euro 900 million"</w:t>
      </w:r>
    </w:p>
    <w:p w14:paraId="7D61E8E6" w14:textId="77777777" w:rsidR="00F765B4" w:rsidRPr="00550E0C" w:rsidRDefault="00F765B4" w:rsidP="00601067">
      <w:pPr>
        <w:jc w:val="both"/>
        <w:rPr>
          <w:rFonts w:asciiTheme="majorHAnsi" w:hAnsiTheme="majorHAnsi" w:cstheme="majorHAnsi"/>
          <w:i/>
          <w:iCs/>
          <w:sz w:val="22"/>
          <w:szCs w:val="22"/>
        </w:rPr>
      </w:pPr>
    </w:p>
    <w:p w14:paraId="01099CFF" w14:textId="585ED15A" w:rsidR="00F765B4" w:rsidRPr="0016723C" w:rsidRDefault="001802E6" w:rsidP="00F765B4">
      <w:pPr>
        <w:jc w:val="both"/>
        <w:rPr>
          <w:rFonts w:asciiTheme="majorHAnsi" w:hAnsiTheme="majorHAnsi" w:cstheme="majorHAnsi"/>
          <w:i/>
          <w:sz w:val="22"/>
          <w:szCs w:val="22"/>
        </w:rPr>
      </w:pPr>
      <w:r>
        <w:rPr>
          <w:rFonts w:asciiTheme="majorHAnsi" w:hAnsiTheme="majorHAnsi"/>
          <w:b/>
          <w:sz w:val="22"/>
        </w:rPr>
        <w:t>Gianluca Bufo, Chief Executive Officer and General Manager of the Group, said:</w:t>
      </w:r>
      <w:r>
        <w:rPr>
          <w:sz w:val="22"/>
        </w:rPr>
        <w:t xml:space="preserve"> </w:t>
      </w:r>
      <w:r>
        <w:rPr>
          <w:rFonts w:asciiTheme="majorHAnsi" w:hAnsiTheme="majorHAnsi"/>
          <w:i/>
          <w:sz w:val="22"/>
        </w:rPr>
        <w:t>"</w:t>
      </w:r>
      <w:r>
        <w:t xml:space="preserve"> </w:t>
      </w:r>
      <w:r>
        <w:rPr>
          <w:rFonts w:asciiTheme="majorHAnsi" w:hAnsiTheme="majorHAnsi"/>
          <w:i/>
          <w:sz w:val="22"/>
        </w:rPr>
        <w:t>The results for the period confirm the strength of our industrial model and the Group's capacity to generate sustainable value, thanks to a technical investment plan exceeding Euro 610 million, largely allocated to regulated businesses. The growth of Euro 80 million during the period was driven by positive contributions from all business lines and the implementation of the synergies plan, which is yielding tangible results in terms of operational efficiency and profitability (+Euro 16 million). The achieved results serve as a solid foundation for advancing along the development path and for achieving the goals of the new business plan, further supported by an improvement in the IFN/EBITDA ratio expected to be 3.1x by year-end".</w:t>
      </w:r>
    </w:p>
    <w:p w14:paraId="264CB563" w14:textId="77777777" w:rsidR="000506DB" w:rsidRPr="0016723C" w:rsidRDefault="000506DB" w:rsidP="007302FB">
      <w:pPr>
        <w:jc w:val="both"/>
        <w:rPr>
          <w:rFonts w:asciiTheme="majorHAnsi" w:hAnsiTheme="majorHAnsi" w:cstheme="majorHAnsi"/>
          <w:b/>
          <w:bCs/>
          <w:i/>
          <w:sz w:val="22"/>
          <w:szCs w:val="22"/>
        </w:rPr>
      </w:pPr>
      <w:bookmarkStart w:id="2" w:name="_Hlk197963463"/>
    </w:p>
    <w:p w14:paraId="4506350A" w14:textId="0B6D20BA" w:rsidR="00722631" w:rsidRPr="00667205" w:rsidRDefault="007302FB" w:rsidP="00421C50">
      <w:pPr>
        <w:jc w:val="both"/>
        <w:rPr>
          <w:rFonts w:ascii="Calibri Light" w:hAnsi="Calibri Light" w:cs="Calibri Light"/>
          <w:b/>
          <w:color w:val="000000"/>
          <w:sz w:val="22"/>
        </w:rPr>
      </w:pPr>
      <w:r>
        <w:rPr>
          <w:rFonts w:asciiTheme="majorHAnsi" w:hAnsiTheme="majorHAnsi"/>
          <w:b/>
          <w:sz w:val="22"/>
        </w:rPr>
        <w:t>Moris Ferretti, Deputy Chairman of the Group said</w:t>
      </w:r>
      <w:r>
        <w:rPr>
          <w:rFonts w:asciiTheme="majorHAnsi" w:hAnsiTheme="majorHAnsi"/>
          <w:sz w:val="22"/>
        </w:rPr>
        <w:t>:</w:t>
      </w:r>
      <w:r>
        <w:rPr>
          <w:rFonts w:asciiTheme="majorHAnsi" w:hAnsiTheme="majorHAnsi"/>
          <w:i/>
          <w:sz w:val="22"/>
        </w:rPr>
        <w:t xml:space="preserve"> "The growing results confirm the commitment and professionalism of the almost 12,000 people who work in the Iren Group and who are the real engine of the successes we are reporting. Furthermore, we persist in our path of sustainable growth with determination, </w:t>
      </w:r>
      <w:r>
        <w:rPr>
          <w:rFonts w:asciiTheme="majorHAnsi" w:hAnsiTheme="majorHAnsi"/>
          <w:i/>
          <w:color w:val="000000" w:themeColor="text1"/>
          <w:sz w:val="22"/>
        </w:rPr>
        <w:t xml:space="preserve">focusing 68% of investments mainly on environmental and social projects, which </w:t>
      </w:r>
      <w:r>
        <w:rPr>
          <w:rFonts w:asciiTheme="majorHAnsi" w:hAnsiTheme="majorHAnsi"/>
          <w:i/>
          <w:sz w:val="22"/>
        </w:rPr>
        <w:t>serve as a strategic foundation providing further strength and stability to our company's development model. In particular, during the period, we recorded a 12% increase in district heating volumes due to the consolidation of Egea and the stabilisation of 70% of separate collection, facilitated by the expansion of best practices to other serviced territories."</w:t>
      </w:r>
    </w:p>
    <w:bookmarkEnd w:id="2"/>
    <w:p w14:paraId="560D7E61" w14:textId="33438749" w:rsidR="00E53845" w:rsidRPr="00051CD7" w:rsidRDefault="001E16C4" w:rsidP="00874159">
      <w:pPr>
        <w:pBdr>
          <w:bottom w:val="single" w:sz="4" w:space="0" w:color="auto"/>
        </w:pBdr>
        <w:autoSpaceDE w:val="0"/>
        <w:autoSpaceDN w:val="0"/>
        <w:adjustRightInd w:val="0"/>
        <w:spacing w:before="240"/>
        <w:jc w:val="both"/>
        <w:rPr>
          <w:rFonts w:asciiTheme="majorHAnsi" w:hAnsiTheme="majorHAnsi" w:cstheme="majorHAnsi"/>
          <w:b/>
          <w:bCs/>
          <w:sz w:val="22"/>
          <w:szCs w:val="22"/>
        </w:rPr>
      </w:pPr>
      <w:r>
        <w:rPr>
          <w:rFonts w:asciiTheme="majorHAnsi" w:hAnsiTheme="majorHAnsi"/>
          <w:b/>
          <w:sz w:val="22"/>
        </w:rPr>
        <w:t>IREN GROUP: CONSOLIDATED RESULTS AT 30 September 2025</w:t>
      </w:r>
    </w:p>
    <w:p w14:paraId="34CDF69B" w14:textId="77777777" w:rsidR="00874159" w:rsidRPr="00051CD7" w:rsidRDefault="00874159" w:rsidP="00847F50">
      <w:pPr>
        <w:autoSpaceDE w:val="0"/>
        <w:autoSpaceDN w:val="0"/>
        <w:adjustRightInd w:val="0"/>
        <w:jc w:val="both"/>
        <w:rPr>
          <w:rFonts w:asciiTheme="majorHAnsi" w:hAnsiTheme="majorHAnsi" w:cstheme="majorHAnsi"/>
          <w:bCs/>
          <w:sz w:val="22"/>
          <w:szCs w:val="22"/>
          <w:highlight w:val="yellow"/>
        </w:rPr>
      </w:pPr>
    </w:p>
    <w:p w14:paraId="087A4235" w14:textId="71B90629" w:rsidR="00581978" w:rsidRPr="00051CD7" w:rsidRDefault="00170695" w:rsidP="00847F50">
      <w:pPr>
        <w:autoSpaceDE w:val="0"/>
        <w:autoSpaceDN w:val="0"/>
        <w:adjustRightInd w:val="0"/>
        <w:jc w:val="both"/>
        <w:rPr>
          <w:rFonts w:asciiTheme="majorHAnsi" w:hAnsiTheme="majorHAnsi" w:cstheme="majorHAnsi"/>
          <w:sz w:val="22"/>
          <w:szCs w:val="22"/>
        </w:rPr>
      </w:pPr>
      <w:r>
        <w:rPr>
          <w:rFonts w:asciiTheme="majorHAnsi" w:hAnsiTheme="majorHAnsi"/>
          <w:sz w:val="22"/>
        </w:rPr>
        <w:t>Consolidated</w:t>
      </w:r>
      <w:r>
        <w:rPr>
          <w:rFonts w:asciiTheme="majorHAnsi" w:hAnsiTheme="majorHAnsi"/>
          <w:b/>
          <w:sz w:val="22"/>
        </w:rPr>
        <w:t xml:space="preserve"> Revenues </w:t>
      </w:r>
      <w:r>
        <w:rPr>
          <w:rFonts w:asciiTheme="majorHAnsi" w:hAnsiTheme="majorHAnsi"/>
          <w:sz w:val="22"/>
        </w:rPr>
        <w:t>as at 30 September 2025 amounted to Euro 4,839.8 million, an increase of +16.4% compared to Euro 4,156.6 million in the first nine months of 2024. The main drivers of the turnover increase are linked to energy revenues, influenced by approximately Euro 90 million due to rising commodity prices and around Euro 160 million from higher energy sales volumes. The consolidation of the EGEA Holding group, effective as of 1 January 2025, for Euro 313 million and energy efficiency activities amounting to approximately Euro 59 million contribute positively.</w:t>
      </w:r>
    </w:p>
    <w:p w14:paraId="3F54186C" w14:textId="77777777" w:rsidR="00051CD7" w:rsidRPr="0003068D" w:rsidRDefault="00051CD7" w:rsidP="00847F50">
      <w:pPr>
        <w:autoSpaceDE w:val="0"/>
        <w:autoSpaceDN w:val="0"/>
        <w:adjustRightInd w:val="0"/>
        <w:jc w:val="both"/>
        <w:rPr>
          <w:rFonts w:asciiTheme="majorHAnsi" w:hAnsiTheme="majorHAnsi" w:cstheme="majorHAnsi"/>
          <w:color w:val="EE0000"/>
          <w:sz w:val="22"/>
          <w:szCs w:val="22"/>
          <w:highlight w:val="yellow"/>
        </w:rPr>
      </w:pPr>
    </w:p>
    <w:p w14:paraId="2C314105" w14:textId="2CB72570" w:rsidR="003404AD" w:rsidRPr="003404AD" w:rsidRDefault="00186E29" w:rsidP="003404AD">
      <w:pPr>
        <w:autoSpaceDE w:val="0"/>
        <w:autoSpaceDN w:val="0"/>
        <w:adjustRightInd w:val="0"/>
        <w:jc w:val="both"/>
        <w:rPr>
          <w:rFonts w:asciiTheme="majorHAnsi" w:hAnsiTheme="majorHAnsi" w:cstheme="majorHAnsi"/>
          <w:bCs/>
          <w:sz w:val="22"/>
          <w:szCs w:val="22"/>
        </w:rPr>
      </w:pPr>
      <w:r>
        <w:rPr>
          <w:rFonts w:asciiTheme="majorHAnsi" w:hAnsiTheme="majorHAnsi"/>
          <w:sz w:val="22"/>
        </w:rPr>
        <w:t xml:space="preserve">The </w:t>
      </w:r>
      <w:r>
        <w:rPr>
          <w:rFonts w:asciiTheme="majorHAnsi" w:hAnsiTheme="majorHAnsi"/>
          <w:b/>
          <w:sz w:val="22"/>
        </w:rPr>
        <w:t>Gross Operating Margin (EBITDA)</w:t>
      </w:r>
      <w:r>
        <w:rPr>
          <w:rFonts w:asciiTheme="majorHAnsi" w:hAnsiTheme="majorHAnsi"/>
          <w:sz w:val="22"/>
        </w:rPr>
        <w:t xml:space="preserve"> amounts to Euro 1,003.5 million, an increase of 8.7% compared to Euro 923.5 million in the first nine months of 2024. The margin increase for the period is primarily attributable to the consolidation of the EGEA Holding group (+Euro 43 million), organic growth (+Euro 18 million), and the synergy plan (+Euro 16 million). The increase in the Networks business unit, in addition to being related to the tariff awards due to the investments made in recent years and the regulatory effects for the revision of the tariff parameters, has also benefited from some positive one-offs (water quality premiums and concerning the ARERA 570/R/ gas resolution) that have more than compensated for the loss of the capital gains related to the tariff adjustments for the recovery of </w:t>
      </w:r>
      <w:r>
        <w:rPr>
          <w:rFonts w:asciiTheme="majorHAnsi" w:hAnsiTheme="majorHAnsi"/>
          <w:sz w:val="22"/>
        </w:rPr>
        <w:lastRenderedPageBreak/>
        <w:t xml:space="preserve">inflation for the Integrated Water Service, which had positively characterised the year 2024 (-Euro 9 million) and are no longer repeatable, and the reduction, starting from the beginning of the year, of the WACC recognised in the gas and electricity distribution sectors. The energy scenario was characterised by growing commodity prices compared to 2024, but these slowed during the third quarter of 2025. Price trends, for energy production margins, led to contrasting and overall negative effects (-Euro 4 million), with slight decreases in margins for both electricity production (-Euro 1 million) and heat production (-Euro 3 million). The decline in the margin is also due to lower production levels, particularly in hydroelectric generation (-Euro 12 million) owing to the limited hydraulic capacity during the summer, partially offset by higher heat production (+Euro 8 million) and the activities of the Environment business unit (+Euro 2 million). Conversely, the positive contribution of the 'Capacity market' fee (+Euro 20 million) is particularly noteworthy, only partially offset by the reduced contribution from the Dispatching Services Market -MSD- (-Euro 9 million). The trading business for energy commodities saw a decline (-Euro 3 million), primarily due to the anticipated reduction in margin from gas sales (-Euro 10 million), an activity that had benefited from an extraordinary positive margin in the early months of 2024, which cannot be replicated, whereas margins from electricity sales showed improvement (+Euro 7 million). </w:t>
      </w:r>
    </w:p>
    <w:p w14:paraId="36F3A0D5" w14:textId="02BEAF30" w:rsidR="00440661" w:rsidRPr="003404AD" w:rsidRDefault="003404AD" w:rsidP="003404AD">
      <w:pPr>
        <w:autoSpaceDE w:val="0"/>
        <w:autoSpaceDN w:val="0"/>
        <w:adjustRightInd w:val="0"/>
        <w:jc w:val="both"/>
        <w:rPr>
          <w:rFonts w:asciiTheme="majorHAnsi" w:hAnsiTheme="majorHAnsi" w:cstheme="majorHAnsi"/>
          <w:bCs/>
          <w:sz w:val="22"/>
          <w:szCs w:val="22"/>
        </w:rPr>
      </w:pPr>
      <w:r>
        <w:rPr>
          <w:rFonts w:asciiTheme="majorHAnsi" w:hAnsiTheme="majorHAnsi"/>
          <w:sz w:val="22"/>
        </w:rPr>
        <w:t>The change in margin with reference to the individual business units is broken down as follows: Networks business unit +12.6%, Market +10.2%, Energy +5.7%, and Environment +3.1%.</w:t>
      </w:r>
    </w:p>
    <w:p w14:paraId="0654F8AE" w14:textId="77777777" w:rsidR="003404AD" w:rsidRPr="00C451C3" w:rsidRDefault="003404AD" w:rsidP="003404AD">
      <w:pPr>
        <w:autoSpaceDE w:val="0"/>
        <w:autoSpaceDN w:val="0"/>
        <w:adjustRightInd w:val="0"/>
        <w:jc w:val="both"/>
        <w:rPr>
          <w:rFonts w:asciiTheme="majorHAnsi" w:hAnsiTheme="majorHAnsi" w:cstheme="majorHAnsi"/>
          <w:bCs/>
          <w:sz w:val="22"/>
          <w:szCs w:val="22"/>
        </w:rPr>
      </w:pPr>
    </w:p>
    <w:p w14:paraId="1FA6FA55" w14:textId="00F83BC3" w:rsidR="00C67F65" w:rsidRPr="00C451C3" w:rsidRDefault="00186E29" w:rsidP="0089225E">
      <w:pPr>
        <w:autoSpaceDE w:val="0"/>
        <w:autoSpaceDN w:val="0"/>
        <w:adjustRightInd w:val="0"/>
        <w:jc w:val="both"/>
        <w:rPr>
          <w:rFonts w:asciiTheme="majorHAnsi" w:hAnsiTheme="majorHAnsi" w:cstheme="majorHAnsi"/>
          <w:spacing w:val="-2"/>
          <w:sz w:val="22"/>
          <w:szCs w:val="22"/>
        </w:rPr>
      </w:pPr>
      <w:r>
        <w:rPr>
          <w:rFonts w:asciiTheme="majorHAnsi" w:hAnsiTheme="majorHAnsi"/>
          <w:sz w:val="22"/>
        </w:rPr>
        <w:t xml:space="preserve">The </w:t>
      </w:r>
      <w:r>
        <w:rPr>
          <w:rFonts w:asciiTheme="majorHAnsi" w:hAnsiTheme="majorHAnsi"/>
          <w:b/>
          <w:sz w:val="22"/>
        </w:rPr>
        <w:t>Operating Result (EBIT)</w:t>
      </w:r>
      <w:r>
        <w:rPr>
          <w:rFonts w:asciiTheme="majorHAnsi" w:hAnsiTheme="majorHAnsi"/>
          <w:sz w:val="22"/>
        </w:rPr>
        <w:t xml:space="preserve"> amounts to Euro 401.5 million, an increase of 6.6% compared to Euro 376.6 million in the first nine months of 2024. During the period, higher depreciation of Euro 45 million was recorded due to the commissioning of new investments and the expansion of the consolidation perimeter (Euro 25 million), attributable to the EGEA Holding Group, higher accruals to the provision for bad debts of Euro 9 million, higher accruals to the provision for risks of Euro 2 million, and a lower release of provisions of Euro 2 million.</w:t>
      </w:r>
    </w:p>
    <w:p w14:paraId="7D592C85" w14:textId="77777777" w:rsidR="00C451C3" w:rsidRPr="0003068D" w:rsidRDefault="00C451C3" w:rsidP="0089225E">
      <w:pPr>
        <w:autoSpaceDE w:val="0"/>
        <w:autoSpaceDN w:val="0"/>
        <w:adjustRightInd w:val="0"/>
        <w:jc w:val="both"/>
        <w:rPr>
          <w:rFonts w:asciiTheme="majorHAnsi" w:hAnsiTheme="majorHAnsi" w:cstheme="majorHAnsi"/>
          <w:color w:val="EE0000"/>
          <w:spacing w:val="-2"/>
          <w:sz w:val="22"/>
          <w:szCs w:val="22"/>
        </w:rPr>
      </w:pPr>
    </w:p>
    <w:p w14:paraId="74665D48" w14:textId="72213525" w:rsidR="00BC1052" w:rsidRPr="00F61DCD" w:rsidRDefault="00186E29" w:rsidP="0089225E">
      <w:pPr>
        <w:autoSpaceDE w:val="0"/>
        <w:autoSpaceDN w:val="0"/>
        <w:adjustRightInd w:val="0"/>
        <w:jc w:val="both"/>
        <w:rPr>
          <w:rFonts w:asciiTheme="majorHAnsi" w:hAnsiTheme="majorHAnsi" w:cstheme="majorHAnsi"/>
          <w:bCs/>
          <w:sz w:val="22"/>
          <w:szCs w:val="22"/>
        </w:rPr>
      </w:pPr>
      <w:r>
        <w:rPr>
          <w:rFonts w:asciiTheme="majorHAnsi" w:hAnsiTheme="majorHAnsi"/>
          <w:sz w:val="22"/>
        </w:rPr>
        <w:t>The </w:t>
      </w:r>
      <w:r>
        <w:rPr>
          <w:rFonts w:asciiTheme="majorHAnsi" w:hAnsiTheme="majorHAnsi"/>
          <w:b/>
          <w:sz w:val="22"/>
        </w:rPr>
        <w:t xml:space="preserve">Group Net Profit attributable to shareholders </w:t>
      </w:r>
      <w:r>
        <w:rPr>
          <w:rFonts w:asciiTheme="majorHAnsi" w:hAnsiTheme="majorHAnsi"/>
          <w:sz w:val="22"/>
        </w:rPr>
        <w:t xml:space="preserve">amounted to </w:t>
      </w:r>
      <w:r w:rsidRPr="0006322F">
        <w:rPr>
          <w:rFonts w:asciiTheme="majorHAnsi" w:hAnsiTheme="majorHAnsi"/>
          <w:sz w:val="22"/>
        </w:rPr>
        <w:t>Euro 219 million</w:t>
      </w:r>
      <w:r>
        <w:rPr>
          <w:rFonts w:asciiTheme="majorHAnsi" w:hAnsiTheme="majorHAnsi"/>
          <w:sz w:val="22"/>
        </w:rPr>
        <w:t>, up 12.2% compared to the result for the first nine months of 2024. The growth reflects the trend in EBITDA and benefits from the reduction of the net result attributable to third parties due to the acquisition of the minority stake in Iren Acqua and a 28% tax rate reduced by extraordinary, non-replicable effects.</w:t>
      </w:r>
    </w:p>
    <w:p w14:paraId="36A5345B" w14:textId="77777777" w:rsidR="00C62AD7" w:rsidRPr="0003068D" w:rsidRDefault="00C62AD7" w:rsidP="0089225E">
      <w:pPr>
        <w:autoSpaceDE w:val="0"/>
        <w:autoSpaceDN w:val="0"/>
        <w:adjustRightInd w:val="0"/>
        <w:jc w:val="both"/>
        <w:rPr>
          <w:rFonts w:asciiTheme="majorHAnsi" w:hAnsiTheme="majorHAnsi" w:cstheme="majorHAnsi"/>
          <w:bCs/>
          <w:color w:val="EE0000"/>
          <w:sz w:val="22"/>
          <w:szCs w:val="22"/>
        </w:rPr>
      </w:pPr>
    </w:p>
    <w:p w14:paraId="0AA2704F" w14:textId="0449BBB9" w:rsidR="004E36EB" w:rsidRDefault="00FC0402" w:rsidP="000F1E41">
      <w:pPr>
        <w:autoSpaceDE w:val="0"/>
        <w:autoSpaceDN w:val="0"/>
        <w:adjustRightInd w:val="0"/>
        <w:jc w:val="both"/>
        <w:rPr>
          <w:rFonts w:asciiTheme="majorHAnsi" w:hAnsiTheme="majorHAnsi" w:cstheme="majorHAnsi"/>
          <w:color w:val="EE0000"/>
          <w:sz w:val="22"/>
          <w:szCs w:val="22"/>
        </w:rPr>
      </w:pPr>
      <w:r>
        <w:rPr>
          <w:rFonts w:asciiTheme="majorHAnsi" w:hAnsiTheme="majorHAnsi"/>
          <w:b/>
          <w:sz w:val="22"/>
        </w:rPr>
        <w:t>Net Financial Indebtedness</w:t>
      </w:r>
      <w:r>
        <w:rPr>
          <w:rFonts w:asciiTheme="majorHAnsi" w:hAnsiTheme="majorHAnsi"/>
          <w:sz w:val="22"/>
        </w:rPr>
        <w:t xml:space="preserve"> stood at Euro 4,287.4 million as of 30 September 2025, an increase of Euro 204.7 million compared to 31 December 2024. Regarding this, the operating cash flow amounted to Euro 566 million, almost fully covering the technical investments made, amounting to Euro 613 million, while the Euro 500 million raised through the hybrid bond issuance was, as planned, fully utilised for the financial investments for the period, amounting to Euro 511 million. </w:t>
      </w:r>
    </w:p>
    <w:p w14:paraId="7D46991A" w14:textId="77777777" w:rsidR="00E66F55" w:rsidRPr="00255E80" w:rsidRDefault="00E66F55" w:rsidP="000F1E41">
      <w:pPr>
        <w:autoSpaceDE w:val="0"/>
        <w:autoSpaceDN w:val="0"/>
        <w:adjustRightInd w:val="0"/>
        <w:jc w:val="both"/>
        <w:rPr>
          <w:rFonts w:asciiTheme="majorHAnsi" w:hAnsiTheme="majorHAnsi" w:cstheme="majorHAnsi"/>
          <w:sz w:val="22"/>
          <w:szCs w:val="22"/>
          <w:highlight w:val="yellow"/>
        </w:rPr>
      </w:pPr>
    </w:p>
    <w:p w14:paraId="551B86EE" w14:textId="38362E56" w:rsidR="00AB45F0" w:rsidRPr="0003068D" w:rsidRDefault="00FC0402" w:rsidP="007D6EE9">
      <w:pPr>
        <w:autoSpaceDE w:val="0"/>
        <w:autoSpaceDN w:val="0"/>
        <w:adjustRightInd w:val="0"/>
        <w:jc w:val="both"/>
        <w:rPr>
          <w:rFonts w:asciiTheme="majorHAnsi" w:hAnsiTheme="majorHAnsi" w:cstheme="majorHAnsi"/>
          <w:color w:val="EE0000"/>
          <w:sz w:val="22"/>
          <w:szCs w:val="22"/>
          <w:highlight w:val="yellow"/>
        </w:rPr>
      </w:pPr>
      <w:r>
        <w:rPr>
          <w:rFonts w:asciiTheme="majorHAnsi" w:hAnsiTheme="majorHAnsi"/>
          <w:b/>
          <w:sz w:val="22"/>
        </w:rPr>
        <w:t>Total investments</w:t>
      </w:r>
      <w:r>
        <w:rPr>
          <w:rFonts w:asciiTheme="majorHAnsi" w:hAnsiTheme="majorHAnsi"/>
          <w:sz w:val="22"/>
        </w:rPr>
        <w:t xml:space="preserve"> made during the period amounted to Euro 1,124 million, up compared with 2024, of which Euro 613 million in technical investments (+9.5%) and Euro 511 million in financial investments attributable to the acquisition of the minority stake in Iren Acqua (Euro 283 million), the exercise of the call and consolidation of </w:t>
      </w:r>
      <w:r>
        <w:rPr>
          <w:rFonts w:asciiTheme="majorHAnsi" w:hAnsiTheme="majorHAnsi"/>
          <w:color w:val="000000" w:themeColor="text1"/>
          <w:sz w:val="22"/>
        </w:rPr>
        <w:t>EGEA Holding (Euro 238 million), and the sale of the business unit related to the integrated water service in Imperia (-Euro 11 million). It should also be noted that 68% of investments are aligned with the European Taxonomy and are earmarked for sustainability projects, in line with business plan forecasts.</w:t>
      </w:r>
    </w:p>
    <w:p w14:paraId="27B057C2" w14:textId="77777777" w:rsidR="007C2017" w:rsidRDefault="007C2017">
      <w:pPr>
        <w:rPr>
          <w:rFonts w:asciiTheme="majorHAnsi" w:hAnsiTheme="majorHAnsi"/>
          <w:b/>
          <w:sz w:val="22"/>
        </w:rPr>
      </w:pPr>
      <w:r>
        <w:rPr>
          <w:rFonts w:asciiTheme="majorHAnsi" w:hAnsiTheme="majorHAnsi"/>
          <w:b/>
          <w:sz w:val="22"/>
        </w:rPr>
        <w:br w:type="page"/>
      </w:r>
    </w:p>
    <w:p w14:paraId="560D7E69" w14:textId="4870BA85" w:rsidR="00E53845" w:rsidRPr="004B42B1" w:rsidRDefault="00506725" w:rsidP="00874159">
      <w:pPr>
        <w:pBdr>
          <w:bottom w:val="single" w:sz="4" w:space="0" w:color="auto"/>
        </w:pBdr>
        <w:autoSpaceDE w:val="0"/>
        <w:autoSpaceDN w:val="0"/>
        <w:adjustRightInd w:val="0"/>
        <w:spacing w:before="240"/>
        <w:jc w:val="both"/>
        <w:rPr>
          <w:rFonts w:asciiTheme="majorHAnsi" w:hAnsiTheme="majorHAnsi" w:cstheme="majorHAnsi"/>
          <w:b/>
          <w:bCs/>
          <w:sz w:val="22"/>
          <w:szCs w:val="22"/>
        </w:rPr>
      </w:pPr>
      <w:r>
        <w:rPr>
          <w:rFonts w:asciiTheme="majorHAnsi" w:hAnsiTheme="majorHAnsi"/>
          <w:b/>
          <w:sz w:val="22"/>
        </w:rPr>
        <w:lastRenderedPageBreak/>
        <w:t>IREN GROUP: MAIN RESULTS BY BUSINESS AREA</w:t>
      </w:r>
    </w:p>
    <w:p w14:paraId="560D7E6A" w14:textId="77777777" w:rsidR="00E53845" w:rsidRPr="0003068D" w:rsidRDefault="00E53845" w:rsidP="009C3308">
      <w:pPr>
        <w:autoSpaceDE w:val="0"/>
        <w:autoSpaceDN w:val="0"/>
        <w:adjustRightInd w:val="0"/>
        <w:jc w:val="both"/>
        <w:rPr>
          <w:rFonts w:asciiTheme="majorHAnsi" w:hAnsiTheme="majorHAnsi" w:cstheme="majorHAnsi"/>
          <w:color w:val="EE0000"/>
          <w:sz w:val="22"/>
          <w:szCs w:val="22"/>
          <w:highlight w:val="yellow"/>
        </w:rPr>
      </w:pPr>
    </w:p>
    <w:tbl>
      <w:tblPr>
        <w:tblW w:w="9072"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969"/>
        <w:gridCol w:w="1701"/>
        <w:gridCol w:w="1735"/>
        <w:gridCol w:w="1667"/>
      </w:tblGrid>
      <w:tr w:rsidR="0003068D" w:rsidRPr="0003068D" w14:paraId="560D7E6F" w14:textId="77777777" w:rsidTr="008C4E99">
        <w:trPr>
          <w:trHeight w:val="340"/>
          <w:tblHeader/>
        </w:trPr>
        <w:tc>
          <w:tcPr>
            <w:tcW w:w="3969" w:type="dxa"/>
            <w:tcBorders>
              <w:top w:val="nil"/>
              <w:bottom w:val="single" w:sz="4" w:space="0" w:color="auto"/>
            </w:tcBorders>
            <w:vAlign w:val="center"/>
          </w:tcPr>
          <w:p w14:paraId="560D7E6B" w14:textId="77777777" w:rsidR="00653A3C" w:rsidRPr="004B42B1" w:rsidRDefault="00653A3C" w:rsidP="00653A3C">
            <w:pPr>
              <w:autoSpaceDE w:val="0"/>
              <w:autoSpaceDN w:val="0"/>
              <w:adjustRightInd w:val="0"/>
              <w:rPr>
                <w:rFonts w:asciiTheme="majorHAnsi" w:hAnsiTheme="majorHAnsi" w:cstheme="majorHAnsi"/>
                <w:b/>
                <w:sz w:val="20"/>
                <w:szCs w:val="20"/>
              </w:rPr>
            </w:pPr>
            <w:r>
              <w:rPr>
                <w:rFonts w:asciiTheme="majorHAnsi" w:hAnsiTheme="majorHAnsi"/>
                <w:b/>
                <w:sz w:val="20"/>
              </w:rPr>
              <w:t>(million euros)</w:t>
            </w:r>
          </w:p>
        </w:tc>
        <w:tc>
          <w:tcPr>
            <w:tcW w:w="1701" w:type="dxa"/>
            <w:tcBorders>
              <w:top w:val="nil"/>
              <w:bottom w:val="single" w:sz="4" w:space="0" w:color="auto"/>
            </w:tcBorders>
            <w:shd w:val="clear" w:color="auto" w:fill="EEECE1"/>
            <w:vAlign w:val="center"/>
          </w:tcPr>
          <w:p w14:paraId="560D7E6C" w14:textId="7E424A36" w:rsidR="00653A3C" w:rsidRPr="004B42B1" w:rsidRDefault="00653A3C" w:rsidP="00653A3C">
            <w:pPr>
              <w:autoSpaceDE w:val="0"/>
              <w:autoSpaceDN w:val="0"/>
              <w:adjustRightInd w:val="0"/>
              <w:jc w:val="right"/>
              <w:rPr>
                <w:rFonts w:asciiTheme="majorHAnsi" w:hAnsiTheme="majorHAnsi" w:cstheme="majorHAnsi"/>
                <w:b/>
                <w:sz w:val="20"/>
                <w:szCs w:val="20"/>
              </w:rPr>
            </w:pPr>
            <w:r>
              <w:rPr>
                <w:rFonts w:asciiTheme="majorHAnsi" w:hAnsiTheme="majorHAnsi"/>
                <w:b/>
                <w:sz w:val="20"/>
              </w:rPr>
              <w:t>30/09/2025</w:t>
            </w:r>
          </w:p>
        </w:tc>
        <w:tc>
          <w:tcPr>
            <w:tcW w:w="1735" w:type="dxa"/>
            <w:tcBorders>
              <w:top w:val="nil"/>
              <w:bottom w:val="single" w:sz="4" w:space="0" w:color="auto"/>
            </w:tcBorders>
            <w:vAlign w:val="center"/>
          </w:tcPr>
          <w:p w14:paraId="560D7E6D" w14:textId="5CF912EF" w:rsidR="00653A3C" w:rsidRPr="004B42B1" w:rsidRDefault="00653A3C" w:rsidP="00653A3C">
            <w:pPr>
              <w:autoSpaceDE w:val="0"/>
              <w:autoSpaceDN w:val="0"/>
              <w:adjustRightInd w:val="0"/>
              <w:jc w:val="right"/>
              <w:rPr>
                <w:rFonts w:asciiTheme="majorHAnsi" w:hAnsiTheme="majorHAnsi" w:cstheme="majorHAnsi"/>
                <w:b/>
                <w:sz w:val="20"/>
                <w:szCs w:val="20"/>
              </w:rPr>
            </w:pPr>
            <w:r>
              <w:rPr>
                <w:rFonts w:asciiTheme="majorHAnsi" w:hAnsiTheme="majorHAnsi"/>
                <w:b/>
                <w:sz w:val="20"/>
              </w:rPr>
              <w:t>30/09/2024</w:t>
            </w:r>
          </w:p>
        </w:tc>
        <w:tc>
          <w:tcPr>
            <w:tcW w:w="1667" w:type="dxa"/>
            <w:tcBorders>
              <w:top w:val="nil"/>
              <w:bottom w:val="single" w:sz="4" w:space="0" w:color="auto"/>
            </w:tcBorders>
            <w:shd w:val="clear" w:color="auto" w:fill="EEECE1"/>
            <w:vAlign w:val="center"/>
          </w:tcPr>
          <w:p w14:paraId="560D7E6E" w14:textId="77777777" w:rsidR="00653A3C" w:rsidRPr="004B42B1" w:rsidRDefault="00653A3C" w:rsidP="00653A3C">
            <w:pPr>
              <w:autoSpaceDE w:val="0"/>
              <w:autoSpaceDN w:val="0"/>
              <w:adjustRightInd w:val="0"/>
              <w:jc w:val="right"/>
              <w:rPr>
                <w:rFonts w:asciiTheme="majorHAnsi" w:hAnsiTheme="majorHAnsi" w:cstheme="majorHAnsi"/>
                <w:b/>
                <w:sz w:val="20"/>
                <w:szCs w:val="20"/>
              </w:rPr>
            </w:pPr>
            <w:r>
              <w:rPr>
                <w:rFonts w:asciiTheme="majorHAnsi" w:hAnsiTheme="majorHAnsi"/>
                <w:b/>
                <w:sz w:val="20"/>
              </w:rPr>
              <w:t>Change %</w:t>
            </w:r>
          </w:p>
        </w:tc>
      </w:tr>
      <w:tr w:rsidR="0003068D" w:rsidRPr="0003068D" w14:paraId="560D7E74" w14:textId="77777777" w:rsidTr="008C4E99">
        <w:trPr>
          <w:trHeight w:val="227"/>
        </w:trPr>
        <w:tc>
          <w:tcPr>
            <w:tcW w:w="3969" w:type="dxa"/>
            <w:tcBorders>
              <w:top w:val="single" w:sz="4" w:space="0" w:color="auto"/>
              <w:bottom w:val="single" w:sz="4" w:space="0" w:color="auto"/>
            </w:tcBorders>
            <w:shd w:val="clear" w:color="auto" w:fill="FFFFFF"/>
            <w:vAlign w:val="center"/>
          </w:tcPr>
          <w:p w14:paraId="560D7E70" w14:textId="77777777" w:rsidR="002F716A" w:rsidRPr="004B42B1" w:rsidRDefault="002F716A" w:rsidP="002F716A">
            <w:pPr>
              <w:autoSpaceDE w:val="0"/>
              <w:autoSpaceDN w:val="0"/>
              <w:adjustRightInd w:val="0"/>
              <w:rPr>
                <w:rFonts w:asciiTheme="majorHAnsi" w:hAnsiTheme="majorHAnsi" w:cstheme="majorHAnsi"/>
                <w:b/>
                <w:sz w:val="20"/>
                <w:szCs w:val="20"/>
              </w:rPr>
            </w:pPr>
            <w:r>
              <w:rPr>
                <w:rFonts w:asciiTheme="majorHAnsi" w:hAnsiTheme="majorHAnsi"/>
                <w:b/>
                <w:sz w:val="20"/>
              </w:rPr>
              <w:t>Revenues</w:t>
            </w:r>
          </w:p>
        </w:tc>
        <w:tc>
          <w:tcPr>
            <w:tcW w:w="1701" w:type="dxa"/>
            <w:tcBorders>
              <w:top w:val="single" w:sz="4" w:space="0" w:color="auto"/>
              <w:bottom w:val="single" w:sz="4" w:space="0" w:color="auto"/>
            </w:tcBorders>
            <w:shd w:val="clear" w:color="auto" w:fill="EEECE1"/>
            <w:vAlign w:val="center"/>
          </w:tcPr>
          <w:p w14:paraId="560D7E71" w14:textId="3FDC2650"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4,840</w:t>
            </w:r>
          </w:p>
        </w:tc>
        <w:tc>
          <w:tcPr>
            <w:tcW w:w="1735" w:type="dxa"/>
            <w:tcBorders>
              <w:top w:val="single" w:sz="4" w:space="0" w:color="auto"/>
              <w:bottom w:val="single" w:sz="4" w:space="0" w:color="auto"/>
            </w:tcBorders>
            <w:shd w:val="clear" w:color="auto" w:fill="FFFFFF"/>
            <w:vAlign w:val="center"/>
          </w:tcPr>
          <w:p w14:paraId="560D7E72" w14:textId="04D2B906"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4,157</w:t>
            </w:r>
          </w:p>
        </w:tc>
        <w:tc>
          <w:tcPr>
            <w:tcW w:w="1667" w:type="dxa"/>
            <w:tcBorders>
              <w:top w:val="single" w:sz="4" w:space="0" w:color="auto"/>
              <w:bottom w:val="single" w:sz="4" w:space="0" w:color="auto"/>
            </w:tcBorders>
            <w:shd w:val="clear" w:color="auto" w:fill="EEECE1"/>
            <w:vAlign w:val="center"/>
          </w:tcPr>
          <w:p w14:paraId="560D7E73" w14:textId="3582209F"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16.4%</w:t>
            </w:r>
          </w:p>
        </w:tc>
      </w:tr>
      <w:tr w:rsidR="0003068D" w:rsidRPr="0003068D" w14:paraId="4BB49DF3" w14:textId="77777777" w:rsidTr="008C4E99">
        <w:trPr>
          <w:trHeight w:val="227"/>
        </w:trPr>
        <w:tc>
          <w:tcPr>
            <w:tcW w:w="3969" w:type="dxa"/>
            <w:tcBorders>
              <w:top w:val="nil"/>
              <w:bottom w:val="nil"/>
            </w:tcBorders>
            <w:vAlign w:val="center"/>
          </w:tcPr>
          <w:p w14:paraId="5675111B" w14:textId="2C0A6345"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Networks (</w:t>
            </w:r>
            <w:r w:rsidR="00E34715">
              <w:rPr>
                <w:rFonts w:asciiTheme="majorHAnsi" w:hAnsiTheme="majorHAnsi"/>
                <w:sz w:val="20"/>
              </w:rPr>
              <w:t>power</w:t>
            </w:r>
            <w:r>
              <w:rPr>
                <w:rFonts w:asciiTheme="majorHAnsi" w:hAnsiTheme="majorHAnsi"/>
                <w:sz w:val="20"/>
              </w:rPr>
              <w:t xml:space="preserve"> and water infrastructures)</w:t>
            </w:r>
          </w:p>
        </w:tc>
        <w:tc>
          <w:tcPr>
            <w:tcW w:w="1701" w:type="dxa"/>
            <w:tcBorders>
              <w:top w:val="nil"/>
              <w:bottom w:val="nil"/>
            </w:tcBorders>
            <w:shd w:val="clear" w:color="auto" w:fill="EEECE1"/>
            <w:vAlign w:val="center"/>
          </w:tcPr>
          <w:p w14:paraId="641E205C" w14:textId="014F70D4" w:rsidR="002F716A" w:rsidRPr="00DD6071" w:rsidRDefault="003F7BBD" w:rsidP="002F716A">
            <w:pPr>
              <w:jc w:val="right"/>
              <w:rPr>
                <w:rFonts w:asciiTheme="majorHAnsi" w:hAnsiTheme="majorHAnsi" w:cstheme="majorHAnsi"/>
                <w:iCs/>
                <w:sz w:val="20"/>
                <w:szCs w:val="20"/>
              </w:rPr>
            </w:pPr>
            <w:r>
              <w:rPr>
                <w:rFonts w:asciiTheme="majorHAnsi" w:hAnsiTheme="majorHAnsi"/>
                <w:sz w:val="20"/>
              </w:rPr>
              <w:t>1,016</w:t>
            </w:r>
          </w:p>
        </w:tc>
        <w:tc>
          <w:tcPr>
            <w:tcW w:w="1735" w:type="dxa"/>
            <w:tcBorders>
              <w:top w:val="nil"/>
              <w:bottom w:val="nil"/>
            </w:tcBorders>
            <w:vAlign w:val="center"/>
          </w:tcPr>
          <w:p w14:paraId="72CC444F" w14:textId="7DDBAAEB" w:rsidR="002F716A" w:rsidRPr="00DD6071" w:rsidRDefault="008D1424" w:rsidP="002F716A">
            <w:pPr>
              <w:jc w:val="right"/>
              <w:rPr>
                <w:rFonts w:asciiTheme="majorHAnsi" w:hAnsiTheme="majorHAnsi" w:cstheme="majorHAnsi"/>
                <w:iCs/>
                <w:sz w:val="20"/>
                <w:szCs w:val="20"/>
              </w:rPr>
            </w:pPr>
            <w:r>
              <w:rPr>
                <w:rFonts w:asciiTheme="majorHAnsi" w:hAnsiTheme="majorHAnsi"/>
                <w:sz w:val="20"/>
              </w:rPr>
              <w:t>939</w:t>
            </w:r>
          </w:p>
        </w:tc>
        <w:tc>
          <w:tcPr>
            <w:tcW w:w="1667" w:type="dxa"/>
            <w:tcBorders>
              <w:top w:val="nil"/>
              <w:bottom w:val="nil"/>
            </w:tcBorders>
            <w:shd w:val="clear" w:color="auto" w:fill="EEECE1"/>
            <w:vAlign w:val="center"/>
          </w:tcPr>
          <w:p w14:paraId="21657134" w14:textId="596A5896" w:rsidR="002F716A" w:rsidRPr="00DD6071" w:rsidRDefault="008D1424" w:rsidP="002F716A">
            <w:pPr>
              <w:jc w:val="right"/>
              <w:rPr>
                <w:rFonts w:asciiTheme="majorHAnsi" w:hAnsiTheme="majorHAnsi" w:cstheme="majorHAnsi"/>
                <w:iCs/>
                <w:sz w:val="20"/>
                <w:szCs w:val="20"/>
              </w:rPr>
            </w:pPr>
            <w:r>
              <w:rPr>
                <w:rFonts w:asciiTheme="majorHAnsi" w:hAnsiTheme="majorHAnsi"/>
                <w:sz w:val="20"/>
              </w:rPr>
              <w:t>8.2%</w:t>
            </w:r>
          </w:p>
        </w:tc>
      </w:tr>
      <w:tr w:rsidR="00DD6071" w:rsidRPr="00DD6071" w14:paraId="560D7E7E" w14:textId="77777777" w:rsidTr="008C4E99">
        <w:trPr>
          <w:trHeight w:val="227"/>
        </w:trPr>
        <w:tc>
          <w:tcPr>
            <w:tcW w:w="3969" w:type="dxa"/>
            <w:tcBorders>
              <w:top w:val="nil"/>
              <w:bottom w:val="nil"/>
            </w:tcBorders>
            <w:vAlign w:val="center"/>
          </w:tcPr>
          <w:p w14:paraId="560D7E7A"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Environment</w:t>
            </w:r>
          </w:p>
        </w:tc>
        <w:tc>
          <w:tcPr>
            <w:tcW w:w="1701" w:type="dxa"/>
            <w:tcBorders>
              <w:top w:val="nil"/>
              <w:bottom w:val="nil"/>
            </w:tcBorders>
            <w:shd w:val="clear" w:color="auto" w:fill="EEECE1"/>
            <w:vAlign w:val="center"/>
          </w:tcPr>
          <w:p w14:paraId="560D7E7B" w14:textId="3B72D217"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1,049</w:t>
            </w:r>
          </w:p>
        </w:tc>
        <w:tc>
          <w:tcPr>
            <w:tcW w:w="1735" w:type="dxa"/>
            <w:tcBorders>
              <w:top w:val="nil"/>
              <w:bottom w:val="nil"/>
            </w:tcBorders>
            <w:vAlign w:val="center"/>
          </w:tcPr>
          <w:p w14:paraId="560D7E7C" w14:textId="2B82B0FC"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937</w:t>
            </w:r>
          </w:p>
        </w:tc>
        <w:tc>
          <w:tcPr>
            <w:tcW w:w="1667" w:type="dxa"/>
            <w:tcBorders>
              <w:top w:val="nil"/>
              <w:bottom w:val="nil"/>
            </w:tcBorders>
            <w:shd w:val="clear" w:color="auto" w:fill="EEECE1"/>
            <w:vAlign w:val="center"/>
          </w:tcPr>
          <w:p w14:paraId="560D7E7D" w14:textId="3198F49A" w:rsidR="002F716A" w:rsidRPr="00DD6071" w:rsidRDefault="00FB5D87" w:rsidP="002F716A">
            <w:pPr>
              <w:jc w:val="right"/>
              <w:rPr>
                <w:rFonts w:asciiTheme="majorHAnsi" w:hAnsiTheme="majorHAnsi" w:cstheme="majorHAnsi"/>
                <w:iCs/>
                <w:sz w:val="20"/>
                <w:szCs w:val="20"/>
              </w:rPr>
            </w:pPr>
            <w:r>
              <w:rPr>
                <w:rFonts w:asciiTheme="majorHAnsi" w:hAnsiTheme="majorHAnsi"/>
                <w:sz w:val="20"/>
              </w:rPr>
              <w:t>11.9%</w:t>
            </w:r>
          </w:p>
        </w:tc>
      </w:tr>
      <w:tr w:rsidR="0003068D" w:rsidRPr="0003068D" w14:paraId="560D7E83" w14:textId="77777777" w:rsidTr="008C4E99">
        <w:trPr>
          <w:trHeight w:val="227"/>
        </w:trPr>
        <w:tc>
          <w:tcPr>
            <w:tcW w:w="3969" w:type="dxa"/>
            <w:tcBorders>
              <w:top w:val="nil"/>
              <w:bottom w:val="nil"/>
            </w:tcBorders>
            <w:vAlign w:val="center"/>
          </w:tcPr>
          <w:p w14:paraId="560D7E7F"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Energy (Generation, TLR, Energy Efficiency)</w:t>
            </w:r>
          </w:p>
        </w:tc>
        <w:tc>
          <w:tcPr>
            <w:tcW w:w="1701" w:type="dxa"/>
            <w:tcBorders>
              <w:top w:val="nil"/>
              <w:bottom w:val="nil"/>
            </w:tcBorders>
            <w:shd w:val="clear" w:color="auto" w:fill="EEECE1"/>
            <w:vAlign w:val="center"/>
          </w:tcPr>
          <w:p w14:paraId="560D7E80" w14:textId="11CB5E31" w:rsidR="002F716A" w:rsidRPr="00DD6071" w:rsidRDefault="00A27F5F" w:rsidP="002F716A">
            <w:pPr>
              <w:jc w:val="right"/>
              <w:rPr>
                <w:rFonts w:asciiTheme="majorHAnsi" w:hAnsiTheme="majorHAnsi" w:cstheme="majorHAnsi"/>
                <w:iCs/>
                <w:sz w:val="20"/>
                <w:szCs w:val="20"/>
              </w:rPr>
            </w:pPr>
            <w:r>
              <w:rPr>
                <w:rFonts w:asciiTheme="majorHAnsi" w:hAnsiTheme="majorHAnsi"/>
                <w:sz w:val="20"/>
              </w:rPr>
              <w:t>1,811</w:t>
            </w:r>
          </w:p>
        </w:tc>
        <w:tc>
          <w:tcPr>
            <w:tcW w:w="1735" w:type="dxa"/>
            <w:tcBorders>
              <w:top w:val="nil"/>
              <w:bottom w:val="nil"/>
            </w:tcBorders>
            <w:vAlign w:val="center"/>
          </w:tcPr>
          <w:p w14:paraId="560D7E81" w14:textId="0CE5AD9E"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1,413</w:t>
            </w:r>
          </w:p>
        </w:tc>
        <w:tc>
          <w:tcPr>
            <w:tcW w:w="1667" w:type="dxa"/>
            <w:tcBorders>
              <w:top w:val="nil"/>
              <w:bottom w:val="nil"/>
            </w:tcBorders>
            <w:shd w:val="clear" w:color="auto" w:fill="EEECE1"/>
            <w:vAlign w:val="center"/>
          </w:tcPr>
          <w:p w14:paraId="560D7E82" w14:textId="5C750D67"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28.2%</w:t>
            </w:r>
          </w:p>
        </w:tc>
      </w:tr>
      <w:tr w:rsidR="0003068D" w:rsidRPr="0003068D" w14:paraId="560D7E88" w14:textId="77777777" w:rsidTr="008C4E99">
        <w:trPr>
          <w:trHeight w:val="227"/>
        </w:trPr>
        <w:tc>
          <w:tcPr>
            <w:tcW w:w="3969" w:type="dxa"/>
            <w:tcBorders>
              <w:top w:val="nil"/>
              <w:bottom w:val="nil"/>
            </w:tcBorders>
            <w:vAlign w:val="center"/>
          </w:tcPr>
          <w:p w14:paraId="560D7E84"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Market</w:t>
            </w:r>
          </w:p>
        </w:tc>
        <w:tc>
          <w:tcPr>
            <w:tcW w:w="1701" w:type="dxa"/>
            <w:tcBorders>
              <w:top w:val="nil"/>
              <w:bottom w:val="nil"/>
            </w:tcBorders>
            <w:shd w:val="clear" w:color="auto" w:fill="EEECE1"/>
            <w:vAlign w:val="center"/>
          </w:tcPr>
          <w:p w14:paraId="560D7E85" w14:textId="327B854A" w:rsidR="002F716A" w:rsidRPr="003479C9" w:rsidRDefault="003479C9" w:rsidP="002F716A">
            <w:pPr>
              <w:jc w:val="right"/>
              <w:rPr>
                <w:rFonts w:asciiTheme="majorHAnsi" w:hAnsiTheme="majorHAnsi" w:cstheme="majorHAnsi"/>
                <w:iCs/>
                <w:sz w:val="20"/>
                <w:szCs w:val="20"/>
              </w:rPr>
            </w:pPr>
            <w:r>
              <w:rPr>
                <w:rFonts w:asciiTheme="majorHAnsi" w:hAnsiTheme="majorHAnsi"/>
                <w:sz w:val="20"/>
              </w:rPr>
              <w:t>2,577</w:t>
            </w:r>
          </w:p>
        </w:tc>
        <w:tc>
          <w:tcPr>
            <w:tcW w:w="1735" w:type="dxa"/>
            <w:tcBorders>
              <w:top w:val="nil"/>
              <w:bottom w:val="nil"/>
            </w:tcBorders>
            <w:vAlign w:val="center"/>
          </w:tcPr>
          <w:p w14:paraId="560D7E86" w14:textId="5597E3AD" w:rsidR="002F716A" w:rsidRPr="003479C9" w:rsidRDefault="003479C9" w:rsidP="002F716A">
            <w:pPr>
              <w:jc w:val="right"/>
              <w:rPr>
                <w:rFonts w:asciiTheme="majorHAnsi" w:hAnsiTheme="majorHAnsi" w:cstheme="majorHAnsi"/>
                <w:iCs/>
                <w:sz w:val="20"/>
                <w:szCs w:val="20"/>
              </w:rPr>
            </w:pPr>
            <w:r>
              <w:rPr>
                <w:rFonts w:asciiTheme="majorHAnsi" w:hAnsiTheme="majorHAnsi"/>
                <w:sz w:val="20"/>
              </w:rPr>
              <w:t>2,311</w:t>
            </w:r>
          </w:p>
        </w:tc>
        <w:tc>
          <w:tcPr>
            <w:tcW w:w="1667" w:type="dxa"/>
            <w:tcBorders>
              <w:top w:val="nil"/>
              <w:bottom w:val="nil"/>
            </w:tcBorders>
            <w:shd w:val="clear" w:color="auto" w:fill="EEECE1"/>
            <w:vAlign w:val="center"/>
          </w:tcPr>
          <w:p w14:paraId="560D7E87" w14:textId="3D99A2E2" w:rsidR="002F716A" w:rsidRPr="003479C9" w:rsidRDefault="00EA40A3" w:rsidP="002F716A">
            <w:pPr>
              <w:jc w:val="right"/>
              <w:rPr>
                <w:rFonts w:asciiTheme="majorHAnsi" w:hAnsiTheme="majorHAnsi" w:cstheme="majorHAnsi"/>
                <w:iCs/>
                <w:sz w:val="20"/>
                <w:szCs w:val="20"/>
              </w:rPr>
            </w:pPr>
            <w:r>
              <w:rPr>
                <w:rFonts w:asciiTheme="majorHAnsi" w:hAnsiTheme="majorHAnsi"/>
                <w:sz w:val="20"/>
              </w:rPr>
              <w:t>11.5%</w:t>
            </w:r>
          </w:p>
        </w:tc>
      </w:tr>
      <w:tr w:rsidR="0003068D" w:rsidRPr="0003068D" w14:paraId="560D7E8D" w14:textId="77777777" w:rsidTr="008C4E99">
        <w:trPr>
          <w:trHeight w:val="227"/>
        </w:trPr>
        <w:tc>
          <w:tcPr>
            <w:tcW w:w="3969" w:type="dxa"/>
            <w:tcBorders>
              <w:top w:val="nil"/>
              <w:bottom w:val="nil"/>
            </w:tcBorders>
            <w:vAlign w:val="center"/>
          </w:tcPr>
          <w:p w14:paraId="560D7E89"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Services and other</w:t>
            </w:r>
          </w:p>
        </w:tc>
        <w:tc>
          <w:tcPr>
            <w:tcW w:w="1701" w:type="dxa"/>
            <w:tcBorders>
              <w:top w:val="nil"/>
              <w:bottom w:val="nil"/>
            </w:tcBorders>
            <w:shd w:val="clear" w:color="auto" w:fill="EEECE1"/>
            <w:vAlign w:val="center"/>
          </w:tcPr>
          <w:p w14:paraId="560D7E8A" w14:textId="56DD44FA" w:rsidR="002F716A" w:rsidRPr="00910918" w:rsidRDefault="00910918" w:rsidP="002F716A">
            <w:pPr>
              <w:jc w:val="right"/>
              <w:rPr>
                <w:rFonts w:asciiTheme="majorHAnsi" w:hAnsiTheme="majorHAnsi" w:cstheme="majorHAnsi"/>
                <w:iCs/>
                <w:sz w:val="20"/>
                <w:szCs w:val="20"/>
              </w:rPr>
            </w:pPr>
            <w:r>
              <w:rPr>
                <w:rFonts w:asciiTheme="majorHAnsi" w:hAnsiTheme="majorHAnsi"/>
                <w:sz w:val="20"/>
              </w:rPr>
              <w:t>25</w:t>
            </w:r>
          </w:p>
        </w:tc>
        <w:tc>
          <w:tcPr>
            <w:tcW w:w="1735" w:type="dxa"/>
            <w:tcBorders>
              <w:top w:val="nil"/>
              <w:bottom w:val="nil"/>
            </w:tcBorders>
            <w:vAlign w:val="center"/>
          </w:tcPr>
          <w:p w14:paraId="560D7E8B" w14:textId="690A0FE5" w:rsidR="002F716A" w:rsidRPr="00910918" w:rsidRDefault="00910918" w:rsidP="002F716A">
            <w:pPr>
              <w:jc w:val="right"/>
              <w:rPr>
                <w:rFonts w:asciiTheme="majorHAnsi" w:hAnsiTheme="majorHAnsi" w:cstheme="majorHAnsi"/>
                <w:iCs/>
                <w:sz w:val="20"/>
                <w:szCs w:val="20"/>
              </w:rPr>
            </w:pPr>
            <w:r>
              <w:rPr>
                <w:rFonts w:asciiTheme="majorHAnsi" w:hAnsiTheme="majorHAnsi"/>
                <w:sz w:val="20"/>
              </w:rPr>
              <w:t>24</w:t>
            </w:r>
          </w:p>
        </w:tc>
        <w:tc>
          <w:tcPr>
            <w:tcW w:w="1667" w:type="dxa"/>
            <w:tcBorders>
              <w:top w:val="nil"/>
              <w:bottom w:val="nil"/>
            </w:tcBorders>
            <w:shd w:val="clear" w:color="auto" w:fill="EEECE1"/>
            <w:vAlign w:val="center"/>
          </w:tcPr>
          <w:p w14:paraId="560D7E8C" w14:textId="1407399B" w:rsidR="002F716A" w:rsidRPr="00910918" w:rsidRDefault="00910918" w:rsidP="002F716A">
            <w:pPr>
              <w:jc w:val="right"/>
              <w:rPr>
                <w:rFonts w:asciiTheme="majorHAnsi" w:hAnsiTheme="majorHAnsi" w:cstheme="majorHAnsi"/>
                <w:iCs/>
                <w:sz w:val="20"/>
                <w:szCs w:val="20"/>
              </w:rPr>
            </w:pPr>
            <w:r>
              <w:rPr>
                <w:rFonts w:asciiTheme="majorHAnsi" w:hAnsiTheme="majorHAnsi"/>
                <w:sz w:val="20"/>
              </w:rPr>
              <w:t>4.7%</w:t>
            </w:r>
          </w:p>
        </w:tc>
      </w:tr>
      <w:tr w:rsidR="0003068D" w:rsidRPr="0003068D" w14:paraId="560D7E92" w14:textId="77777777" w:rsidTr="008C4E99">
        <w:trPr>
          <w:trHeight w:val="227"/>
        </w:trPr>
        <w:tc>
          <w:tcPr>
            <w:tcW w:w="3969" w:type="dxa"/>
            <w:tcBorders>
              <w:top w:val="nil"/>
              <w:bottom w:val="single" w:sz="4" w:space="0" w:color="auto"/>
            </w:tcBorders>
            <w:vAlign w:val="center"/>
          </w:tcPr>
          <w:p w14:paraId="560D7E8E"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Eliminations and corrections</w:t>
            </w:r>
          </w:p>
        </w:tc>
        <w:tc>
          <w:tcPr>
            <w:tcW w:w="1701" w:type="dxa"/>
            <w:tcBorders>
              <w:top w:val="nil"/>
              <w:bottom w:val="single" w:sz="4" w:space="0" w:color="auto"/>
            </w:tcBorders>
            <w:shd w:val="clear" w:color="auto" w:fill="EEECE1"/>
            <w:vAlign w:val="center"/>
          </w:tcPr>
          <w:p w14:paraId="560D7E8F" w14:textId="23976C7F" w:rsidR="002F716A" w:rsidRPr="00F91D5E" w:rsidRDefault="002F716A" w:rsidP="002F716A">
            <w:pPr>
              <w:jc w:val="right"/>
              <w:rPr>
                <w:rFonts w:asciiTheme="majorHAnsi" w:hAnsiTheme="majorHAnsi" w:cstheme="majorHAnsi"/>
                <w:iCs/>
                <w:sz w:val="20"/>
                <w:szCs w:val="20"/>
              </w:rPr>
            </w:pPr>
            <w:r>
              <w:rPr>
                <w:rFonts w:asciiTheme="majorHAnsi" w:hAnsiTheme="majorHAnsi"/>
                <w:sz w:val="20"/>
              </w:rPr>
              <w:t>-1,638</w:t>
            </w:r>
          </w:p>
        </w:tc>
        <w:tc>
          <w:tcPr>
            <w:tcW w:w="1735" w:type="dxa"/>
            <w:tcBorders>
              <w:top w:val="nil"/>
              <w:bottom w:val="single" w:sz="4" w:space="0" w:color="auto"/>
            </w:tcBorders>
            <w:vAlign w:val="center"/>
          </w:tcPr>
          <w:p w14:paraId="560D7E90" w14:textId="285B2976" w:rsidR="00994E21" w:rsidRPr="00F91D5E" w:rsidRDefault="002F716A" w:rsidP="00994E21">
            <w:pPr>
              <w:jc w:val="right"/>
              <w:rPr>
                <w:rFonts w:asciiTheme="majorHAnsi" w:hAnsiTheme="majorHAnsi" w:cstheme="majorHAnsi"/>
                <w:iCs/>
                <w:sz w:val="20"/>
                <w:szCs w:val="20"/>
              </w:rPr>
            </w:pPr>
            <w:r>
              <w:rPr>
                <w:rFonts w:asciiTheme="majorHAnsi" w:hAnsiTheme="majorHAnsi"/>
                <w:sz w:val="20"/>
              </w:rPr>
              <w:t>-1,467</w:t>
            </w:r>
          </w:p>
        </w:tc>
        <w:tc>
          <w:tcPr>
            <w:tcW w:w="1667" w:type="dxa"/>
            <w:tcBorders>
              <w:top w:val="nil"/>
              <w:bottom w:val="single" w:sz="4" w:space="0" w:color="auto"/>
            </w:tcBorders>
            <w:shd w:val="clear" w:color="auto" w:fill="EEECE1"/>
            <w:vAlign w:val="center"/>
          </w:tcPr>
          <w:p w14:paraId="560D7E91" w14:textId="5CF01B2F" w:rsidR="002F716A" w:rsidRPr="00F91D5E" w:rsidRDefault="00F91D5E" w:rsidP="002F716A">
            <w:pPr>
              <w:jc w:val="right"/>
              <w:rPr>
                <w:rFonts w:asciiTheme="majorHAnsi" w:hAnsiTheme="majorHAnsi" w:cstheme="majorHAnsi"/>
                <w:iCs/>
                <w:sz w:val="20"/>
                <w:szCs w:val="20"/>
              </w:rPr>
            </w:pPr>
            <w:r>
              <w:rPr>
                <w:rFonts w:asciiTheme="majorHAnsi" w:hAnsiTheme="majorHAnsi"/>
                <w:sz w:val="20"/>
              </w:rPr>
              <w:t>11.7%</w:t>
            </w:r>
          </w:p>
        </w:tc>
      </w:tr>
      <w:tr w:rsidR="0003068D" w:rsidRPr="0003068D" w14:paraId="560D7E97" w14:textId="77777777" w:rsidTr="008C4E99">
        <w:trPr>
          <w:trHeight w:val="227"/>
        </w:trPr>
        <w:tc>
          <w:tcPr>
            <w:tcW w:w="3969" w:type="dxa"/>
            <w:tcBorders>
              <w:top w:val="single" w:sz="4" w:space="0" w:color="auto"/>
              <w:bottom w:val="single" w:sz="4" w:space="0" w:color="auto"/>
            </w:tcBorders>
            <w:shd w:val="clear" w:color="auto" w:fill="FFFFFF"/>
            <w:vAlign w:val="center"/>
          </w:tcPr>
          <w:p w14:paraId="560D7E93" w14:textId="380EAF6B" w:rsidR="002F716A" w:rsidRPr="004B42B1" w:rsidRDefault="002F716A" w:rsidP="002F716A">
            <w:pPr>
              <w:autoSpaceDE w:val="0"/>
              <w:autoSpaceDN w:val="0"/>
              <w:adjustRightInd w:val="0"/>
              <w:rPr>
                <w:rFonts w:asciiTheme="majorHAnsi" w:hAnsiTheme="majorHAnsi" w:cstheme="majorHAnsi"/>
                <w:b/>
                <w:sz w:val="20"/>
                <w:szCs w:val="20"/>
              </w:rPr>
            </w:pPr>
            <w:r>
              <w:rPr>
                <w:rFonts w:asciiTheme="majorHAnsi" w:hAnsiTheme="majorHAnsi"/>
                <w:b/>
                <w:sz w:val="20"/>
              </w:rPr>
              <w:t>Gross Operating Profit (EBITDA)</w:t>
            </w:r>
          </w:p>
        </w:tc>
        <w:tc>
          <w:tcPr>
            <w:tcW w:w="1701" w:type="dxa"/>
            <w:tcBorders>
              <w:top w:val="single" w:sz="4" w:space="0" w:color="auto"/>
              <w:bottom w:val="single" w:sz="4" w:space="0" w:color="auto"/>
            </w:tcBorders>
            <w:shd w:val="clear" w:color="auto" w:fill="EEECE1"/>
            <w:vAlign w:val="center"/>
          </w:tcPr>
          <w:p w14:paraId="560D7E94" w14:textId="55F9286A"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1,003</w:t>
            </w:r>
          </w:p>
        </w:tc>
        <w:tc>
          <w:tcPr>
            <w:tcW w:w="1735" w:type="dxa"/>
            <w:tcBorders>
              <w:top w:val="single" w:sz="4" w:space="0" w:color="auto"/>
              <w:bottom w:val="single" w:sz="4" w:space="0" w:color="auto"/>
            </w:tcBorders>
            <w:shd w:val="clear" w:color="auto" w:fill="FFFFFF"/>
            <w:vAlign w:val="center"/>
          </w:tcPr>
          <w:p w14:paraId="560D7E95" w14:textId="4DCA9A66"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924</w:t>
            </w:r>
          </w:p>
        </w:tc>
        <w:tc>
          <w:tcPr>
            <w:tcW w:w="1667" w:type="dxa"/>
            <w:tcBorders>
              <w:top w:val="single" w:sz="4" w:space="0" w:color="auto"/>
              <w:bottom w:val="single" w:sz="4" w:space="0" w:color="auto"/>
            </w:tcBorders>
            <w:shd w:val="clear" w:color="auto" w:fill="EEECE1"/>
            <w:vAlign w:val="center"/>
          </w:tcPr>
          <w:p w14:paraId="560D7E96" w14:textId="77FAFFBE"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8.7%</w:t>
            </w:r>
          </w:p>
        </w:tc>
      </w:tr>
      <w:tr w:rsidR="0003068D" w:rsidRPr="0003068D" w14:paraId="560D7E9C" w14:textId="77777777" w:rsidTr="008C4E99">
        <w:trPr>
          <w:trHeight w:val="227"/>
        </w:trPr>
        <w:tc>
          <w:tcPr>
            <w:tcW w:w="3969" w:type="dxa"/>
            <w:tcBorders>
              <w:top w:val="nil"/>
              <w:bottom w:val="nil"/>
            </w:tcBorders>
            <w:vAlign w:val="center"/>
          </w:tcPr>
          <w:p w14:paraId="560D7E98"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Networks (energy and water infrastructures)</w:t>
            </w:r>
          </w:p>
        </w:tc>
        <w:tc>
          <w:tcPr>
            <w:tcW w:w="1701" w:type="dxa"/>
            <w:tcBorders>
              <w:top w:val="nil"/>
              <w:bottom w:val="nil"/>
            </w:tcBorders>
            <w:shd w:val="clear" w:color="auto" w:fill="EEECE1"/>
            <w:vAlign w:val="center"/>
          </w:tcPr>
          <w:p w14:paraId="560D7E99" w14:textId="3B919865" w:rsidR="002F716A" w:rsidRPr="00DD6071" w:rsidRDefault="008D1424" w:rsidP="002F716A">
            <w:pPr>
              <w:autoSpaceDE w:val="0"/>
              <w:autoSpaceDN w:val="0"/>
              <w:adjustRightInd w:val="0"/>
              <w:jc w:val="right"/>
              <w:rPr>
                <w:rFonts w:asciiTheme="majorHAnsi" w:hAnsiTheme="majorHAnsi" w:cstheme="majorHAnsi"/>
                <w:sz w:val="20"/>
                <w:szCs w:val="20"/>
              </w:rPr>
            </w:pPr>
            <w:r>
              <w:rPr>
                <w:rFonts w:asciiTheme="majorHAnsi" w:hAnsiTheme="majorHAnsi"/>
                <w:sz w:val="20"/>
              </w:rPr>
              <w:t>404</w:t>
            </w:r>
          </w:p>
        </w:tc>
        <w:tc>
          <w:tcPr>
            <w:tcW w:w="1735" w:type="dxa"/>
            <w:tcBorders>
              <w:top w:val="nil"/>
              <w:bottom w:val="nil"/>
            </w:tcBorders>
            <w:vAlign w:val="center"/>
          </w:tcPr>
          <w:p w14:paraId="560D7E9A" w14:textId="1BB339F0" w:rsidR="002F716A" w:rsidRPr="00DD6071" w:rsidRDefault="008D1424" w:rsidP="002F716A">
            <w:pPr>
              <w:autoSpaceDE w:val="0"/>
              <w:autoSpaceDN w:val="0"/>
              <w:adjustRightInd w:val="0"/>
              <w:jc w:val="right"/>
              <w:rPr>
                <w:rFonts w:asciiTheme="majorHAnsi" w:hAnsiTheme="majorHAnsi" w:cstheme="majorHAnsi"/>
                <w:sz w:val="20"/>
                <w:szCs w:val="20"/>
              </w:rPr>
            </w:pPr>
            <w:r>
              <w:rPr>
                <w:rFonts w:asciiTheme="majorHAnsi" w:hAnsiTheme="majorHAnsi"/>
                <w:sz w:val="20"/>
              </w:rPr>
              <w:t>359</w:t>
            </w:r>
          </w:p>
        </w:tc>
        <w:tc>
          <w:tcPr>
            <w:tcW w:w="1667" w:type="dxa"/>
            <w:tcBorders>
              <w:top w:val="nil"/>
              <w:bottom w:val="nil"/>
            </w:tcBorders>
            <w:shd w:val="clear" w:color="auto" w:fill="EEECE1"/>
            <w:vAlign w:val="center"/>
          </w:tcPr>
          <w:p w14:paraId="560D7E9B" w14:textId="15965BD4" w:rsidR="002F716A" w:rsidRPr="00DD6071" w:rsidRDefault="008D1424" w:rsidP="002F716A">
            <w:pPr>
              <w:autoSpaceDE w:val="0"/>
              <w:autoSpaceDN w:val="0"/>
              <w:adjustRightInd w:val="0"/>
              <w:jc w:val="right"/>
              <w:rPr>
                <w:rFonts w:asciiTheme="majorHAnsi" w:hAnsiTheme="majorHAnsi" w:cstheme="majorHAnsi"/>
                <w:sz w:val="20"/>
                <w:szCs w:val="20"/>
              </w:rPr>
            </w:pPr>
            <w:r>
              <w:rPr>
                <w:rFonts w:asciiTheme="majorHAnsi" w:hAnsiTheme="majorHAnsi"/>
                <w:sz w:val="20"/>
              </w:rPr>
              <w:t>12.6%</w:t>
            </w:r>
          </w:p>
        </w:tc>
      </w:tr>
      <w:tr w:rsidR="0003068D" w:rsidRPr="0003068D" w14:paraId="560D7EA1" w14:textId="77777777" w:rsidTr="008C4E99">
        <w:trPr>
          <w:trHeight w:val="227"/>
        </w:trPr>
        <w:tc>
          <w:tcPr>
            <w:tcW w:w="3969" w:type="dxa"/>
            <w:tcBorders>
              <w:top w:val="nil"/>
              <w:bottom w:val="nil"/>
            </w:tcBorders>
            <w:vAlign w:val="center"/>
          </w:tcPr>
          <w:p w14:paraId="560D7E9D" w14:textId="77777777" w:rsidR="002F716A" w:rsidRPr="004B42B1" w:rsidRDefault="002F716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Electrical infrastructure</w:t>
            </w:r>
          </w:p>
        </w:tc>
        <w:tc>
          <w:tcPr>
            <w:tcW w:w="1701" w:type="dxa"/>
            <w:tcBorders>
              <w:top w:val="nil"/>
              <w:bottom w:val="nil"/>
            </w:tcBorders>
            <w:shd w:val="clear" w:color="auto" w:fill="EEECE1"/>
            <w:vAlign w:val="center"/>
          </w:tcPr>
          <w:p w14:paraId="560D7E9E" w14:textId="44F0A2B1" w:rsidR="002F716A" w:rsidRPr="00DD6071" w:rsidRDefault="008D1424" w:rsidP="002F716A">
            <w:pPr>
              <w:jc w:val="right"/>
              <w:rPr>
                <w:rFonts w:asciiTheme="majorHAnsi" w:hAnsiTheme="majorHAnsi" w:cstheme="majorHAnsi"/>
                <w:i/>
                <w:iCs/>
                <w:sz w:val="20"/>
                <w:szCs w:val="20"/>
              </w:rPr>
            </w:pPr>
            <w:r>
              <w:rPr>
                <w:rFonts w:asciiTheme="majorHAnsi" w:hAnsiTheme="majorHAnsi"/>
                <w:i/>
                <w:sz w:val="20"/>
              </w:rPr>
              <w:t>77</w:t>
            </w:r>
          </w:p>
        </w:tc>
        <w:tc>
          <w:tcPr>
            <w:tcW w:w="1735" w:type="dxa"/>
            <w:tcBorders>
              <w:top w:val="nil"/>
              <w:bottom w:val="nil"/>
            </w:tcBorders>
            <w:vAlign w:val="center"/>
          </w:tcPr>
          <w:p w14:paraId="560D7E9F" w14:textId="5767B43F" w:rsidR="002F716A" w:rsidRPr="00DD6071" w:rsidRDefault="000807AE" w:rsidP="002F716A">
            <w:pPr>
              <w:jc w:val="right"/>
              <w:rPr>
                <w:rFonts w:asciiTheme="majorHAnsi" w:hAnsiTheme="majorHAnsi" w:cstheme="majorHAnsi"/>
                <w:i/>
                <w:iCs/>
                <w:sz w:val="20"/>
                <w:szCs w:val="20"/>
              </w:rPr>
            </w:pPr>
            <w:r>
              <w:rPr>
                <w:rFonts w:asciiTheme="majorHAnsi" w:hAnsiTheme="majorHAnsi"/>
                <w:i/>
                <w:sz w:val="20"/>
              </w:rPr>
              <w:t>67</w:t>
            </w:r>
          </w:p>
        </w:tc>
        <w:tc>
          <w:tcPr>
            <w:tcW w:w="1667" w:type="dxa"/>
            <w:tcBorders>
              <w:top w:val="nil"/>
              <w:bottom w:val="nil"/>
            </w:tcBorders>
            <w:shd w:val="clear" w:color="auto" w:fill="EEECE1"/>
            <w:vAlign w:val="center"/>
          </w:tcPr>
          <w:p w14:paraId="560D7EA0" w14:textId="3F70D184" w:rsidR="002F716A" w:rsidRPr="00DD6071" w:rsidRDefault="00AF5F3C" w:rsidP="002F716A">
            <w:pPr>
              <w:jc w:val="right"/>
              <w:rPr>
                <w:rFonts w:asciiTheme="majorHAnsi" w:hAnsiTheme="majorHAnsi" w:cstheme="majorHAnsi"/>
                <w:i/>
                <w:iCs/>
                <w:sz w:val="20"/>
                <w:szCs w:val="20"/>
              </w:rPr>
            </w:pPr>
            <w:r>
              <w:rPr>
                <w:rFonts w:asciiTheme="majorHAnsi" w:hAnsiTheme="majorHAnsi"/>
                <w:i/>
                <w:sz w:val="20"/>
              </w:rPr>
              <w:t>16.0%</w:t>
            </w:r>
          </w:p>
        </w:tc>
      </w:tr>
      <w:tr w:rsidR="0003068D" w:rsidRPr="0003068D" w14:paraId="560D7EA6" w14:textId="77777777" w:rsidTr="008C4E99">
        <w:trPr>
          <w:trHeight w:val="227"/>
        </w:trPr>
        <w:tc>
          <w:tcPr>
            <w:tcW w:w="3969" w:type="dxa"/>
            <w:tcBorders>
              <w:top w:val="nil"/>
              <w:bottom w:val="nil"/>
            </w:tcBorders>
            <w:vAlign w:val="center"/>
          </w:tcPr>
          <w:p w14:paraId="560D7EA2" w14:textId="77777777" w:rsidR="002F716A" w:rsidRPr="004B42B1" w:rsidRDefault="002F716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 xml:space="preserve">Gas infrastructures </w:t>
            </w:r>
          </w:p>
        </w:tc>
        <w:tc>
          <w:tcPr>
            <w:tcW w:w="1701" w:type="dxa"/>
            <w:tcBorders>
              <w:top w:val="nil"/>
              <w:bottom w:val="nil"/>
            </w:tcBorders>
            <w:shd w:val="clear" w:color="auto" w:fill="EEECE1"/>
            <w:vAlign w:val="center"/>
          </w:tcPr>
          <w:p w14:paraId="560D7EA3" w14:textId="1E97208B" w:rsidR="002F716A" w:rsidRPr="00DD6071" w:rsidRDefault="000807AE" w:rsidP="002F716A">
            <w:pPr>
              <w:jc w:val="right"/>
              <w:rPr>
                <w:rFonts w:asciiTheme="majorHAnsi" w:hAnsiTheme="majorHAnsi" w:cstheme="majorHAnsi"/>
                <w:i/>
                <w:sz w:val="20"/>
                <w:szCs w:val="20"/>
              </w:rPr>
            </w:pPr>
            <w:r>
              <w:rPr>
                <w:rFonts w:asciiTheme="majorHAnsi" w:hAnsiTheme="majorHAnsi"/>
                <w:i/>
                <w:sz w:val="20"/>
              </w:rPr>
              <w:t>90</w:t>
            </w:r>
          </w:p>
        </w:tc>
        <w:tc>
          <w:tcPr>
            <w:tcW w:w="1735" w:type="dxa"/>
            <w:tcBorders>
              <w:top w:val="nil"/>
              <w:bottom w:val="nil"/>
            </w:tcBorders>
            <w:vAlign w:val="center"/>
          </w:tcPr>
          <w:p w14:paraId="560D7EA4" w14:textId="40406570" w:rsidR="002F716A" w:rsidRPr="00DD6071" w:rsidRDefault="000807AE" w:rsidP="002F716A">
            <w:pPr>
              <w:jc w:val="right"/>
              <w:rPr>
                <w:rFonts w:asciiTheme="majorHAnsi" w:hAnsiTheme="majorHAnsi" w:cstheme="majorHAnsi"/>
                <w:i/>
                <w:sz w:val="20"/>
                <w:szCs w:val="20"/>
              </w:rPr>
            </w:pPr>
            <w:r>
              <w:rPr>
                <w:rFonts w:asciiTheme="majorHAnsi" w:hAnsiTheme="majorHAnsi"/>
                <w:i/>
                <w:sz w:val="20"/>
              </w:rPr>
              <w:t>74</w:t>
            </w:r>
          </w:p>
        </w:tc>
        <w:tc>
          <w:tcPr>
            <w:tcW w:w="1667" w:type="dxa"/>
            <w:tcBorders>
              <w:top w:val="nil"/>
              <w:bottom w:val="nil"/>
            </w:tcBorders>
            <w:shd w:val="clear" w:color="auto" w:fill="EEECE1"/>
            <w:vAlign w:val="center"/>
          </w:tcPr>
          <w:p w14:paraId="560D7EA5" w14:textId="5BDE2A6A" w:rsidR="002F716A" w:rsidRPr="00DD6071" w:rsidRDefault="00AF5F3C" w:rsidP="002F716A">
            <w:pPr>
              <w:jc w:val="right"/>
              <w:rPr>
                <w:rFonts w:asciiTheme="majorHAnsi" w:hAnsiTheme="majorHAnsi" w:cstheme="majorHAnsi"/>
                <w:i/>
                <w:sz w:val="20"/>
                <w:szCs w:val="20"/>
              </w:rPr>
            </w:pPr>
            <w:r>
              <w:rPr>
                <w:rFonts w:asciiTheme="majorHAnsi" w:hAnsiTheme="majorHAnsi"/>
                <w:i/>
                <w:sz w:val="20"/>
              </w:rPr>
              <w:t>20.9%</w:t>
            </w:r>
          </w:p>
        </w:tc>
      </w:tr>
      <w:tr w:rsidR="0003068D" w:rsidRPr="0003068D" w14:paraId="560D7EAB" w14:textId="77777777" w:rsidTr="008C4E99">
        <w:trPr>
          <w:trHeight w:val="227"/>
        </w:trPr>
        <w:tc>
          <w:tcPr>
            <w:tcW w:w="3969" w:type="dxa"/>
            <w:tcBorders>
              <w:top w:val="nil"/>
              <w:bottom w:val="nil"/>
            </w:tcBorders>
            <w:vAlign w:val="center"/>
          </w:tcPr>
          <w:p w14:paraId="560D7EA7" w14:textId="77777777" w:rsidR="002F716A" w:rsidRPr="004B42B1" w:rsidRDefault="002F716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Water infrastructures</w:t>
            </w:r>
          </w:p>
        </w:tc>
        <w:tc>
          <w:tcPr>
            <w:tcW w:w="1701" w:type="dxa"/>
            <w:tcBorders>
              <w:top w:val="nil"/>
              <w:bottom w:val="nil"/>
            </w:tcBorders>
            <w:shd w:val="clear" w:color="auto" w:fill="EEECE1"/>
            <w:vAlign w:val="center"/>
          </w:tcPr>
          <w:p w14:paraId="560D7EA8" w14:textId="6196F91B" w:rsidR="002F716A" w:rsidRPr="00DD6071" w:rsidRDefault="000807AE" w:rsidP="002F716A">
            <w:pPr>
              <w:jc w:val="right"/>
              <w:rPr>
                <w:rFonts w:asciiTheme="majorHAnsi" w:hAnsiTheme="majorHAnsi" w:cstheme="majorHAnsi"/>
                <w:i/>
                <w:sz w:val="20"/>
                <w:szCs w:val="20"/>
              </w:rPr>
            </w:pPr>
            <w:r>
              <w:rPr>
                <w:rFonts w:asciiTheme="majorHAnsi" w:hAnsiTheme="majorHAnsi"/>
                <w:i/>
                <w:sz w:val="20"/>
              </w:rPr>
              <w:t>237</w:t>
            </w:r>
          </w:p>
        </w:tc>
        <w:tc>
          <w:tcPr>
            <w:tcW w:w="1735" w:type="dxa"/>
            <w:tcBorders>
              <w:top w:val="nil"/>
              <w:bottom w:val="nil"/>
            </w:tcBorders>
            <w:vAlign w:val="center"/>
          </w:tcPr>
          <w:p w14:paraId="560D7EA9" w14:textId="5E129404" w:rsidR="002F716A" w:rsidRPr="00DD6071" w:rsidRDefault="000807AE" w:rsidP="002F716A">
            <w:pPr>
              <w:jc w:val="right"/>
              <w:rPr>
                <w:rFonts w:asciiTheme="majorHAnsi" w:hAnsiTheme="majorHAnsi" w:cstheme="majorHAnsi"/>
                <w:i/>
                <w:sz w:val="20"/>
                <w:szCs w:val="20"/>
              </w:rPr>
            </w:pPr>
            <w:r>
              <w:rPr>
                <w:rFonts w:asciiTheme="majorHAnsi" w:hAnsiTheme="majorHAnsi"/>
                <w:i/>
                <w:sz w:val="20"/>
              </w:rPr>
              <w:t>218</w:t>
            </w:r>
          </w:p>
        </w:tc>
        <w:tc>
          <w:tcPr>
            <w:tcW w:w="1667" w:type="dxa"/>
            <w:tcBorders>
              <w:top w:val="nil"/>
              <w:bottom w:val="nil"/>
            </w:tcBorders>
            <w:shd w:val="clear" w:color="auto" w:fill="EEECE1"/>
            <w:vAlign w:val="center"/>
          </w:tcPr>
          <w:p w14:paraId="560D7EAA" w14:textId="36FCF5D2" w:rsidR="002F716A" w:rsidRPr="00DD6071" w:rsidRDefault="00E94A89" w:rsidP="002F716A">
            <w:pPr>
              <w:jc w:val="right"/>
              <w:rPr>
                <w:rFonts w:asciiTheme="majorHAnsi" w:hAnsiTheme="majorHAnsi" w:cstheme="majorHAnsi"/>
                <w:i/>
                <w:sz w:val="20"/>
                <w:szCs w:val="20"/>
              </w:rPr>
            </w:pPr>
            <w:r>
              <w:rPr>
                <w:rFonts w:asciiTheme="majorHAnsi" w:hAnsiTheme="majorHAnsi"/>
                <w:i/>
                <w:sz w:val="20"/>
              </w:rPr>
              <w:t>8.6%</w:t>
            </w:r>
          </w:p>
        </w:tc>
      </w:tr>
      <w:tr w:rsidR="0003068D" w:rsidRPr="0003068D" w14:paraId="560D7EB0" w14:textId="77777777" w:rsidTr="008C4E99">
        <w:trPr>
          <w:trHeight w:val="227"/>
        </w:trPr>
        <w:tc>
          <w:tcPr>
            <w:tcW w:w="3969" w:type="dxa"/>
            <w:tcBorders>
              <w:top w:val="nil"/>
              <w:bottom w:val="nil"/>
            </w:tcBorders>
            <w:vAlign w:val="center"/>
          </w:tcPr>
          <w:p w14:paraId="560D7EAC"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Environment</w:t>
            </w:r>
          </w:p>
        </w:tc>
        <w:tc>
          <w:tcPr>
            <w:tcW w:w="1701" w:type="dxa"/>
            <w:tcBorders>
              <w:top w:val="nil"/>
              <w:bottom w:val="nil"/>
            </w:tcBorders>
            <w:shd w:val="clear" w:color="auto" w:fill="EEECE1"/>
            <w:vAlign w:val="center"/>
          </w:tcPr>
          <w:p w14:paraId="560D7EAD" w14:textId="32FB2A42"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200</w:t>
            </w:r>
          </w:p>
        </w:tc>
        <w:tc>
          <w:tcPr>
            <w:tcW w:w="1735" w:type="dxa"/>
            <w:tcBorders>
              <w:top w:val="nil"/>
              <w:bottom w:val="nil"/>
            </w:tcBorders>
            <w:vAlign w:val="center"/>
          </w:tcPr>
          <w:p w14:paraId="560D7EAE" w14:textId="4E79DF7A"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194</w:t>
            </w:r>
          </w:p>
        </w:tc>
        <w:tc>
          <w:tcPr>
            <w:tcW w:w="1667" w:type="dxa"/>
            <w:tcBorders>
              <w:top w:val="nil"/>
              <w:bottom w:val="nil"/>
            </w:tcBorders>
            <w:shd w:val="clear" w:color="auto" w:fill="EEECE1"/>
            <w:vAlign w:val="center"/>
          </w:tcPr>
          <w:p w14:paraId="560D7EAF" w14:textId="29ADB23A"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3.1%</w:t>
            </w:r>
          </w:p>
        </w:tc>
      </w:tr>
      <w:tr w:rsidR="0003068D" w:rsidRPr="0003068D" w14:paraId="560D7EB5" w14:textId="77777777" w:rsidTr="008C4E99">
        <w:trPr>
          <w:trHeight w:val="227"/>
        </w:trPr>
        <w:tc>
          <w:tcPr>
            <w:tcW w:w="3969" w:type="dxa"/>
            <w:tcBorders>
              <w:top w:val="nil"/>
              <w:bottom w:val="nil"/>
            </w:tcBorders>
            <w:vAlign w:val="center"/>
          </w:tcPr>
          <w:p w14:paraId="560D7EB1"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Energy (Generation, TLR, Energy Efficiency)</w:t>
            </w:r>
          </w:p>
        </w:tc>
        <w:tc>
          <w:tcPr>
            <w:tcW w:w="1701" w:type="dxa"/>
            <w:tcBorders>
              <w:top w:val="nil"/>
              <w:bottom w:val="nil"/>
            </w:tcBorders>
            <w:shd w:val="clear" w:color="auto" w:fill="EEECE1"/>
            <w:vAlign w:val="center"/>
          </w:tcPr>
          <w:p w14:paraId="560D7EB2" w14:textId="18D63DCE" w:rsidR="002F716A" w:rsidRPr="003479C9" w:rsidRDefault="00DD6071" w:rsidP="002F716A">
            <w:pPr>
              <w:jc w:val="right"/>
              <w:rPr>
                <w:rFonts w:asciiTheme="majorHAnsi" w:hAnsiTheme="majorHAnsi" w:cstheme="majorHAnsi"/>
                <w:iCs/>
                <w:sz w:val="20"/>
                <w:szCs w:val="20"/>
              </w:rPr>
            </w:pPr>
            <w:r>
              <w:rPr>
                <w:rFonts w:asciiTheme="majorHAnsi" w:hAnsiTheme="majorHAnsi"/>
                <w:sz w:val="20"/>
              </w:rPr>
              <w:t>198</w:t>
            </w:r>
          </w:p>
        </w:tc>
        <w:tc>
          <w:tcPr>
            <w:tcW w:w="1735" w:type="dxa"/>
            <w:tcBorders>
              <w:top w:val="nil"/>
              <w:bottom w:val="nil"/>
            </w:tcBorders>
            <w:vAlign w:val="center"/>
          </w:tcPr>
          <w:p w14:paraId="560D7EB3" w14:textId="41F9A1A1" w:rsidR="002F716A" w:rsidRPr="003479C9" w:rsidRDefault="00817088" w:rsidP="002F716A">
            <w:pPr>
              <w:jc w:val="right"/>
              <w:rPr>
                <w:rFonts w:asciiTheme="majorHAnsi" w:hAnsiTheme="majorHAnsi" w:cstheme="majorHAnsi"/>
                <w:iCs/>
                <w:sz w:val="20"/>
                <w:szCs w:val="20"/>
              </w:rPr>
            </w:pPr>
            <w:r>
              <w:rPr>
                <w:rFonts w:asciiTheme="majorHAnsi" w:hAnsiTheme="majorHAnsi"/>
                <w:sz w:val="20"/>
              </w:rPr>
              <w:t>188</w:t>
            </w:r>
          </w:p>
        </w:tc>
        <w:tc>
          <w:tcPr>
            <w:tcW w:w="1667" w:type="dxa"/>
            <w:tcBorders>
              <w:top w:val="nil"/>
              <w:bottom w:val="nil"/>
            </w:tcBorders>
            <w:shd w:val="clear" w:color="auto" w:fill="EEECE1"/>
            <w:vAlign w:val="center"/>
          </w:tcPr>
          <w:p w14:paraId="560D7EB4" w14:textId="6BAE0299" w:rsidR="002F716A" w:rsidRPr="003479C9" w:rsidRDefault="00817088" w:rsidP="002F716A">
            <w:pPr>
              <w:jc w:val="right"/>
              <w:rPr>
                <w:rFonts w:asciiTheme="majorHAnsi" w:hAnsiTheme="majorHAnsi" w:cstheme="majorHAnsi"/>
                <w:iCs/>
                <w:sz w:val="20"/>
                <w:szCs w:val="20"/>
              </w:rPr>
            </w:pPr>
            <w:r>
              <w:rPr>
                <w:rFonts w:asciiTheme="majorHAnsi" w:hAnsiTheme="majorHAnsi"/>
                <w:sz w:val="20"/>
              </w:rPr>
              <w:t>5.7%</w:t>
            </w:r>
          </w:p>
        </w:tc>
      </w:tr>
      <w:tr w:rsidR="0003068D" w:rsidRPr="0003068D" w14:paraId="560D7EBA" w14:textId="77777777" w:rsidTr="008C4E99">
        <w:trPr>
          <w:trHeight w:val="227"/>
        </w:trPr>
        <w:tc>
          <w:tcPr>
            <w:tcW w:w="3969" w:type="dxa"/>
            <w:tcBorders>
              <w:top w:val="nil"/>
              <w:bottom w:val="nil"/>
            </w:tcBorders>
            <w:vAlign w:val="center"/>
          </w:tcPr>
          <w:p w14:paraId="560D7EB6"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Market</w:t>
            </w:r>
          </w:p>
        </w:tc>
        <w:tc>
          <w:tcPr>
            <w:tcW w:w="1701" w:type="dxa"/>
            <w:tcBorders>
              <w:top w:val="nil"/>
              <w:bottom w:val="nil"/>
            </w:tcBorders>
            <w:shd w:val="clear" w:color="auto" w:fill="EEECE1"/>
            <w:vAlign w:val="center"/>
          </w:tcPr>
          <w:p w14:paraId="560D7EB7" w14:textId="1A3C2D7A" w:rsidR="002F716A" w:rsidRPr="003479C9" w:rsidRDefault="003479C9" w:rsidP="002F716A">
            <w:pPr>
              <w:jc w:val="right"/>
              <w:rPr>
                <w:rFonts w:asciiTheme="majorHAnsi" w:hAnsiTheme="majorHAnsi" w:cstheme="majorHAnsi"/>
                <w:iCs/>
                <w:sz w:val="20"/>
                <w:szCs w:val="20"/>
              </w:rPr>
            </w:pPr>
            <w:r>
              <w:rPr>
                <w:rFonts w:asciiTheme="majorHAnsi" w:hAnsiTheme="majorHAnsi"/>
                <w:sz w:val="20"/>
              </w:rPr>
              <w:t>198</w:t>
            </w:r>
          </w:p>
        </w:tc>
        <w:tc>
          <w:tcPr>
            <w:tcW w:w="1735" w:type="dxa"/>
            <w:tcBorders>
              <w:top w:val="nil"/>
              <w:bottom w:val="nil"/>
            </w:tcBorders>
            <w:vAlign w:val="center"/>
          </w:tcPr>
          <w:p w14:paraId="560D7EB8" w14:textId="013D48B7" w:rsidR="002F716A" w:rsidRPr="003479C9" w:rsidRDefault="003479C9" w:rsidP="002F716A">
            <w:pPr>
              <w:autoSpaceDE w:val="0"/>
              <w:autoSpaceDN w:val="0"/>
              <w:adjustRightInd w:val="0"/>
              <w:jc w:val="right"/>
              <w:rPr>
                <w:rFonts w:asciiTheme="majorHAnsi" w:hAnsiTheme="majorHAnsi" w:cstheme="majorHAnsi"/>
                <w:sz w:val="20"/>
                <w:szCs w:val="20"/>
              </w:rPr>
            </w:pPr>
            <w:r>
              <w:rPr>
                <w:rFonts w:asciiTheme="majorHAnsi" w:hAnsiTheme="majorHAnsi"/>
                <w:sz w:val="20"/>
              </w:rPr>
              <w:t>179</w:t>
            </w:r>
          </w:p>
        </w:tc>
        <w:tc>
          <w:tcPr>
            <w:tcW w:w="1667" w:type="dxa"/>
            <w:tcBorders>
              <w:top w:val="nil"/>
              <w:bottom w:val="nil"/>
            </w:tcBorders>
            <w:shd w:val="clear" w:color="auto" w:fill="EEECE1"/>
            <w:vAlign w:val="center"/>
          </w:tcPr>
          <w:p w14:paraId="560D7EB9" w14:textId="79C1F275" w:rsidR="002F716A" w:rsidRPr="003479C9" w:rsidRDefault="003479C9" w:rsidP="002F716A">
            <w:pPr>
              <w:autoSpaceDE w:val="0"/>
              <w:autoSpaceDN w:val="0"/>
              <w:adjustRightInd w:val="0"/>
              <w:jc w:val="right"/>
              <w:rPr>
                <w:rFonts w:asciiTheme="majorHAnsi" w:hAnsiTheme="majorHAnsi" w:cstheme="majorHAnsi"/>
                <w:sz w:val="20"/>
                <w:szCs w:val="20"/>
              </w:rPr>
            </w:pPr>
            <w:r>
              <w:rPr>
                <w:rFonts w:asciiTheme="majorHAnsi" w:hAnsiTheme="majorHAnsi"/>
                <w:sz w:val="20"/>
              </w:rPr>
              <w:t>10.2%</w:t>
            </w:r>
          </w:p>
        </w:tc>
      </w:tr>
      <w:tr w:rsidR="0003068D" w:rsidRPr="0003068D" w14:paraId="560D7EBF" w14:textId="77777777" w:rsidTr="008C4E99">
        <w:trPr>
          <w:trHeight w:val="227"/>
        </w:trPr>
        <w:tc>
          <w:tcPr>
            <w:tcW w:w="3969" w:type="dxa"/>
            <w:tcBorders>
              <w:top w:val="nil"/>
              <w:bottom w:val="nil"/>
            </w:tcBorders>
            <w:vAlign w:val="center"/>
          </w:tcPr>
          <w:p w14:paraId="560D7EBB" w14:textId="77777777" w:rsidR="002F716A" w:rsidRPr="004B42B1" w:rsidRDefault="002F716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Electricity</w:t>
            </w:r>
          </w:p>
        </w:tc>
        <w:tc>
          <w:tcPr>
            <w:tcW w:w="1701" w:type="dxa"/>
            <w:tcBorders>
              <w:top w:val="nil"/>
              <w:bottom w:val="nil"/>
            </w:tcBorders>
            <w:shd w:val="clear" w:color="auto" w:fill="EEECE1"/>
            <w:vAlign w:val="center"/>
          </w:tcPr>
          <w:p w14:paraId="560D7EBC" w14:textId="4734FB02" w:rsidR="002F716A" w:rsidRPr="00CD4A3A" w:rsidRDefault="00B372E2" w:rsidP="002F716A">
            <w:pPr>
              <w:autoSpaceDE w:val="0"/>
              <w:autoSpaceDN w:val="0"/>
              <w:adjustRightInd w:val="0"/>
              <w:jc w:val="right"/>
              <w:rPr>
                <w:rFonts w:asciiTheme="majorHAnsi" w:hAnsiTheme="majorHAnsi" w:cstheme="majorHAnsi"/>
                <w:i/>
                <w:iCs/>
                <w:sz w:val="20"/>
                <w:szCs w:val="20"/>
              </w:rPr>
            </w:pPr>
            <w:r>
              <w:rPr>
                <w:rFonts w:asciiTheme="majorHAnsi" w:hAnsiTheme="majorHAnsi"/>
                <w:i/>
                <w:sz w:val="20"/>
              </w:rPr>
              <w:t>102</w:t>
            </w:r>
          </w:p>
        </w:tc>
        <w:tc>
          <w:tcPr>
            <w:tcW w:w="1735" w:type="dxa"/>
            <w:tcBorders>
              <w:top w:val="nil"/>
              <w:bottom w:val="nil"/>
            </w:tcBorders>
            <w:vAlign w:val="center"/>
          </w:tcPr>
          <w:p w14:paraId="560D7EBD" w14:textId="0658C6F0" w:rsidR="002F716A" w:rsidRPr="00CD4A3A" w:rsidRDefault="00B372E2" w:rsidP="002F716A">
            <w:pPr>
              <w:autoSpaceDE w:val="0"/>
              <w:autoSpaceDN w:val="0"/>
              <w:adjustRightInd w:val="0"/>
              <w:jc w:val="right"/>
              <w:rPr>
                <w:rFonts w:asciiTheme="majorHAnsi" w:hAnsiTheme="majorHAnsi" w:cstheme="majorHAnsi"/>
                <w:i/>
                <w:iCs/>
                <w:sz w:val="20"/>
                <w:szCs w:val="20"/>
              </w:rPr>
            </w:pPr>
            <w:r>
              <w:rPr>
                <w:rFonts w:asciiTheme="majorHAnsi" w:hAnsiTheme="majorHAnsi"/>
                <w:i/>
                <w:sz w:val="20"/>
              </w:rPr>
              <w:t>83</w:t>
            </w:r>
          </w:p>
        </w:tc>
        <w:tc>
          <w:tcPr>
            <w:tcW w:w="1667" w:type="dxa"/>
            <w:tcBorders>
              <w:top w:val="nil"/>
              <w:bottom w:val="nil"/>
            </w:tcBorders>
            <w:shd w:val="clear" w:color="auto" w:fill="EEECE1"/>
            <w:vAlign w:val="center"/>
          </w:tcPr>
          <w:p w14:paraId="560D7EBE" w14:textId="32E2B99E" w:rsidR="002F716A" w:rsidRPr="00CD4A3A" w:rsidRDefault="00B372E2"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22.5%</w:t>
            </w:r>
          </w:p>
        </w:tc>
      </w:tr>
      <w:tr w:rsidR="0003068D" w:rsidRPr="0003068D" w14:paraId="560D7EC4" w14:textId="77777777" w:rsidTr="008C4E99">
        <w:trPr>
          <w:trHeight w:val="227"/>
        </w:trPr>
        <w:tc>
          <w:tcPr>
            <w:tcW w:w="3969" w:type="dxa"/>
            <w:tcBorders>
              <w:top w:val="nil"/>
              <w:bottom w:val="nil"/>
            </w:tcBorders>
            <w:vAlign w:val="center"/>
          </w:tcPr>
          <w:p w14:paraId="560D7EC0" w14:textId="684BAAB3" w:rsidR="002F716A" w:rsidRPr="004B42B1" w:rsidRDefault="002F716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 xml:space="preserve">Gas </w:t>
            </w:r>
          </w:p>
        </w:tc>
        <w:tc>
          <w:tcPr>
            <w:tcW w:w="1701" w:type="dxa"/>
            <w:tcBorders>
              <w:top w:val="nil"/>
              <w:bottom w:val="nil"/>
            </w:tcBorders>
            <w:shd w:val="clear" w:color="auto" w:fill="EEECE1"/>
            <w:vAlign w:val="center"/>
          </w:tcPr>
          <w:p w14:paraId="560D7EC1" w14:textId="57D78CB7" w:rsidR="002F716A" w:rsidRPr="00CD4A3A" w:rsidRDefault="00B372E2"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88</w:t>
            </w:r>
          </w:p>
        </w:tc>
        <w:tc>
          <w:tcPr>
            <w:tcW w:w="1735" w:type="dxa"/>
            <w:tcBorders>
              <w:top w:val="nil"/>
              <w:bottom w:val="nil"/>
            </w:tcBorders>
            <w:vAlign w:val="center"/>
          </w:tcPr>
          <w:p w14:paraId="560D7EC2" w14:textId="7FFA6FB6" w:rsidR="002F716A" w:rsidRPr="00CD4A3A" w:rsidRDefault="00CD4A3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88</w:t>
            </w:r>
          </w:p>
        </w:tc>
        <w:tc>
          <w:tcPr>
            <w:tcW w:w="1667" w:type="dxa"/>
            <w:tcBorders>
              <w:top w:val="nil"/>
              <w:bottom w:val="nil"/>
            </w:tcBorders>
            <w:shd w:val="clear" w:color="auto" w:fill="EEECE1"/>
            <w:vAlign w:val="center"/>
          </w:tcPr>
          <w:p w14:paraId="560D7EC3" w14:textId="779F0FF8" w:rsidR="002F716A" w:rsidRPr="00CD4A3A" w:rsidRDefault="00CD4A3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-0.2%</w:t>
            </w:r>
          </w:p>
        </w:tc>
      </w:tr>
      <w:tr w:rsidR="0003068D" w:rsidRPr="0003068D" w14:paraId="36B8BD87" w14:textId="77777777" w:rsidTr="008C4E99">
        <w:trPr>
          <w:trHeight w:val="227"/>
        </w:trPr>
        <w:tc>
          <w:tcPr>
            <w:tcW w:w="3969" w:type="dxa"/>
            <w:tcBorders>
              <w:top w:val="nil"/>
              <w:bottom w:val="nil"/>
            </w:tcBorders>
            <w:vAlign w:val="center"/>
          </w:tcPr>
          <w:p w14:paraId="192254D2" w14:textId="2D723D03" w:rsidR="0058002E" w:rsidRPr="004B42B1" w:rsidRDefault="0058002E"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Iren Plus and other services</w:t>
            </w:r>
          </w:p>
        </w:tc>
        <w:tc>
          <w:tcPr>
            <w:tcW w:w="1701" w:type="dxa"/>
            <w:tcBorders>
              <w:top w:val="nil"/>
              <w:bottom w:val="nil"/>
            </w:tcBorders>
            <w:shd w:val="clear" w:color="auto" w:fill="EEECE1"/>
            <w:vAlign w:val="center"/>
          </w:tcPr>
          <w:p w14:paraId="551CC2A5" w14:textId="7949C0F1" w:rsidR="0058002E" w:rsidRPr="00CD4A3A" w:rsidRDefault="00CD4A3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8</w:t>
            </w:r>
          </w:p>
        </w:tc>
        <w:tc>
          <w:tcPr>
            <w:tcW w:w="1735" w:type="dxa"/>
            <w:tcBorders>
              <w:top w:val="nil"/>
              <w:bottom w:val="nil"/>
            </w:tcBorders>
            <w:vAlign w:val="center"/>
          </w:tcPr>
          <w:p w14:paraId="4B642349" w14:textId="300BD412" w:rsidR="0058002E" w:rsidRPr="00CD4A3A" w:rsidRDefault="00CD4A3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8</w:t>
            </w:r>
          </w:p>
        </w:tc>
        <w:tc>
          <w:tcPr>
            <w:tcW w:w="1667" w:type="dxa"/>
            <w:tcBorders>
              <w:top w:val="nil"/>
              <w:bottom w:val="nil"/>
            </w:tcBorders>
            <w:shd w:val="clear" w:color="auto" w:fill="EEECE1"/>
            <w:vAlign w:val="center"/>
          </w:tcPr>
          <w:p w14:paraId="5BAA7E36" w14:textId="529F2548" w:rsidR="0058002E" w:rsidRPr="00CD4A3A" w:rsidRDefault="00D65EDA" w:rsidP="002F716A">
            <w:pPr>
              <w:autoSpaceDE w:val="0"/>
              <w:autoSpaceDN w:val="0"/>
              <w:adjustRightInd w:val="0"/>
              <w:jc w:val="right"/>
              <w:rPr>
                <w:rFonts w:asciiTheme="majorHAnsi" w:hAnsiTheme="majorHAnsi" w:cstheme="majorHAnsi"/>
                <w:i/>
                <w:sz w:val="20"/>
                <w:szCs w:val="20"/>
              </w:rPr>
            </w:pPr>
            <w:r>
              <w:rPr>
                <w:rFonts w:asciiTheme="majorHAnsi" w:hAnsiTheme="majorHAnsi"/>
                <w:i/>
                <w:sz w:val="20"/>
              </w:rPr>
              <w:t>-3.6%</w:t>
            </w:r>
          </w:p>
        </w:tc>
      </w:tr>
      <w:tr w:rsidR="0003068D" w:rsidRPr="0003068D" w14:paraId="560D7EC9" w14:textId="77777777" w:rsidTr="008C4E99">
        <w:trPr>
          <w:trHeight w:val="227"/>
        </w:trPr>
        <w:tc>
          <w:tcPr>
            <w:tcW w:w="3969" w:type="dxa"/>
            <w:tcBorders>
              <w:top w:val="nil"/>
              <w:bottom w:val="single" w:sz="4" w:space="0" w:color="auto"/>
            </w:tcBorders>
            <w:vAlign w:val="center"/>
          </w:tcPr>
          <w:p w14:paraId="560D7EC5"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Services and Other</w:t>
            </w:r>
          </w:p>
        </w:tc>
        <w:tc>
          <w:tcPr>
            <w:tcW w:w="1701" w:type="dxa"/>
            <w:tcBorders>
              <w:top w:val="nil"/>
              <w:bottom w:val="single" w:sz="4" w:space="0" w:color="auto"/>
            </w:tcBorders>
            <w:shd w:val="clear" w:color="auto" w:fill="EEECE1"/>
            <w:vAlign w:val="center"/>
          </w:tcPr>
          <w:p w14:paraId="560D7EC6" w14:textId="1E994265" w:rsidR="002F716A" w:rsidRPr="00DB1039" w:rsidRDefault="00B02D19" w:rsidP="002F716A">
            <w:pPr>
              <w:jc w:val="right"/>
              <w:rPr>
                <w:rFonts w:asciiTheme="majorHAnsi" w:hAnsiTheme="majorHAnsi" w:cstheme="majorHAnsi"/>
                <w:iCs/>
                <w:sz w:val="20"/>
                <w:szCs w:val="20"/>
              </w:rPr>
            </w:pPr>
            <w:r>
              <w:rPr>
                <w:rFonts w:asciiTheme="majorHAnsi" w:hAnsiTheme="majorHAnsi"/>
                <w:sz w:val="20"/>
              </w:rPr>
              <w:t>3</w:t>
            </w:r>
          </w:p>
        </w:tc>
        <w:tc>
          <w:tcPr>
            <w:tcW w:w="1735" w:type="dxa"/>
            <w:tcBorders>
              <w:top w:val="nil"/>
              <w:bottom w:val="single" w:sz="4" w:space="0" w:color="auto"/>
            </w:tcBorders>
            <w:vAlign w:val="center"/>
          </w:tcPr>
          <w:p w14:paraId="560D7EC7" w14:textId="191E312F" w:rsidR="002F716A" w:rsidRPr="00DB1039" w:rsidRDefault="00DB1039" w:rsidP="002F716A">
            <w:pPr>
              <w:jc w:val="right"/>
              <w:rPr>
                <w:rFonts w:asciiTheme="majorHAnsi" w:hAnsiTheme="majorHAnsi" w:cstheme="majorHAnsi"/>
                <w:iCs/>
                <w:sz w:val="20"/>
                <w:szCs w:val="20"/>
              </w:rPr>
            </w:pPr>
            <w:r>
              <w:rPr>
                <w:rFonts w:asciiTheme="majorHAnsi" w:hAnsiTheme="majorHAnsi"/>
                <w:sz w:val="20"/>
              </w:rPr>
              <w:t>4</w:t>
            </w:r>
          </w:p>
        </w:tc>
        <w:tc>
          <w:tcPr>
            <w:tcW w:w="1667" w:type="dxa"/>
            <w:tcBorders>
              <w:top w:val="nil"/>
              <w:bottom w:val="single" w:sz="4" w:space="0" w:color="auto"/>
            </w:tcBorders>
            <w:shd w:val="clear" w:color="auto" w:fill="EEECE1"/>
            <w:vAlign w:val="center"/>
          </w:tcPr>
          <w:p w14:paraId="560D7EC8" w14:textId="13598665" w:rsidR="002F716A" w:rsidRPr="00DB1039" w:rsidRDefault="00DB1039" w:rsidP="002F716A">
            <w:pPr>
              <w:jc w:val="right"/>
              <w:rPr>
                <w:rFonts w:asciiTheme="majorHAnsi" w:hAnsiTheme="majorHAnsi" w:cstheme="majorHAnsi"/>
                <w:iCs/>
                <w:sz w:val="20"/>
                <w:szCs w:val="20"/>
              </w:rPr>
            </w:pPr>
            <w:r>
              <w:rPr>
                <w:rFonts w:asciiTheme="majorHAnsi" w:hAnsiTheme="majorHAnsi"/>
                <w:sz w:val="20"/>
              </w:rPr>
              <w:t>-5.1%</w:t>
            </w:r>
          </w:p>
        </w:tc>
      </w:tr>
      <w:tr w:rsidR="0003068D" w:rsidRPr="0003068D" w14:paraId="560D7ECE" w14:textId="77777777" w:rsidTr="008C4E99">
        <w:trPr>
          <w:trHeight w:val="227"/>
        </w:trPr>
        <w:tc>
          <w:tcPr>
            <w:tcW w:w="3969" w:type="dxa"/>
            <w:tcBorders>
              <w:top w:val="single" w:sz="4" w:space="0" w:color="auto"/>
              <w:bottom w:val="single" w:sz="4" w:space="0" w:color="auto"/>
            </w:tcBorders>
            <w:shd w:val="clear" w:color="auto" w:fill="FFFFFF"/>
            <w:vAlign w:val="center"/>
          </w:tcPr>
          <w:p w14:paraId="560D7ECA" w14:textId="27BEF1E1" w:rsidR="002F716A" w:rsidRPr="004B42B1" w:rsidRDefault="002F716A" w:rsidP="002F716A">
            <w:pPr>
              <w:autoSpaceDE w:val="0"/>
              <w:autoSpaceDN w:val="0"/>
              <w:adjustRightInd w:val="0"/>
              <w:rPr>
                <w:rFonts w:asciiTheme="majorHAnsi" w:hAnsiTheme="majorHAnsi" w:cstheme="majorHAnsi"/>
                <w:b/>
                <w:sz w:val="20"/>
                <w:szCs w:val="20"/>
              </w:rPr>
            </w:pPr>
            <w:r>
              <w:rPr>
                <w:rFonts w:asciiTheme="majorHAnsi" w:hAnsiTheme="majorHAnsi"/>
                <w:b/>
                <w:sz w:val="20"/>
              </w:rPr>
              <w:t>Operating Result (EBIT)</w:t>
            </w:r>
          </w:p>
        </w:tc>
        <w:tc>
          <w:tcPr>
            <w:tcW w:w="1701" w:type="dxa"/>
            <w:tcBorders>
              <w:top w:val="single" w:sz="4" w:space="0" w:color="auto"/>
              <w:bottom w:val="single" w:sz="4" w:space="0" w:color="auto"/>
            </w:tcBorders>
            <w:shd w:val="clear" w:color="auto" w:fill="EEECE1"/>
            <w:vAlign w:val="center"/>
          </w:tcPr>
          <w:p w14:paraId="560D7ECB" w14:textId="6B7D5BD9"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401</w:t>
            </w:r>
          </w:p>
        </w:tc>
        <w:tc>
          <w:tcPr>
            <w:tcW w:w="1735" w:type="dxa"/>
            <w:tcBorders>
              <w:top w:val="single" w:sz="4" w:space="0" w:color="auto"/>
              <w:bottom w:val="single" w:sz="4" w:space="0" w:color="auto"/>
            </w:tcBorders>
            <w:shd w:val="clear" w:color="auto" w:fill="FFFFFF"/>
            <w:vAlign w:val="center"/>
          </w:tcPr>
          <w:p w14:paraId="560D7ECC" w14:textId="2C16C6CC" w:rsidR="002F716A" w:rsidRPr="00F4286B" w:rsidRDefault="00F4286B" w:rsidP="002F716A">
            <w:pPr>
              <w:jc w:val="right"/>
              <w:rPr>
                <w:rFonts w:asciiTheme="majorHAnsi" w:hAnsiTheme="majorHAnsi" w:cstheme="majorHAnsi"/>
                <w:b/>
                <w:bCs/>
                <w:sz w:val="20"/>
                <w:szCs w:val="20"/>
              </w:rPr>
            </w:pPr>
            <w:r>
              <w:rPr>
                <w:rFonts w:asciiTheme="majorHAnsi" w:hAnsiTheme="majorHAnsi"/>
                <w:b/>
                <w:sz w:val="20"/>
              </w:rPr>
              <w:t>377</w:t>
            </w:r>
          </w:p>
        </w:tc>
        <w:tc>
          <w:tcPr>
            <w:tcW w:w="1667" w:type="dxa"/>
            <w:tcBorders>
              <w:top w:val="single" w:sz="4" w:space="0" w:color="auto"/>
              <w:bottom w:val="single" w:sz="4" w:space="0" w:color="auto"/>
            </w:tcBorders>
            <w:shd w:val="clear" w:color="auto" w:fill="EEECE1"/>
            <w:vAlign w:val="center"/>
          </w:tcPr>
          <w:p w14:paraId="560D7ECD" w14:textId="660C7C6A" w:rsidR="002F716A" w:rsidRPr="00F4286B" w:rsidRDefault="0012398B" w:rsidP="002F716A">
            <w:pPr>
              <w:jc w:val="right"/>
              <w:rPr>
                <w:rFonts w:asciiTheme="majorHAnsi" w:hAnsiTheme="majorHAnsi" w:cstheme="majorHAnsi"/>
                <w:b/>
                <w:bCs/>
                <w:sz w:val="20"/>
                <w:szCs w:val="20"/>
              </w:rPr>
            </w:pPr>
            <w:r>
              <w:rPr>
                <w:rFonts w:asciiTheme="majorHAnsi" w:hAnsiTheme="majorHAnsi"/>
                <w:b/>
                <w:sz w:val="20"/>
              </w:rPr>
              <w:t>6.6%</w:t>
            </w:r>
          </w:p>
        </w:tc>
      </w:tr>
      <w:tr w:rsidR="0003068D" w:rsidRPr="0003068D" w14:paraId="560D7ED3" w14:textId="77777777" w:rsidTr="008C4E99">
        <w:trPr>
          <w:trHeight w:val="227"/>
        </w:trPr>
        <w:tc>
          <w:tcPr>
            <w:tcW w:w="3969" w:type="dxa"/>
            <w:tcBorders>
              <w:top w:val="nil"/>
              <w:bottom w:val="nil"/>
            </w:tcBorders>
            <w:vAlign w:val="center"/>
          </w:tcPr>
          <w:p w14:paraId="560D7ECF"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Networks (energy and water infrastructures)</w:t>
            </w:r>
          </w:p>
        </w:tc>
        <w:tc>
          <w:tcPr>
            <w:tcW w:w="1701" w:type="dxa"/>
            <w:tcBorders>
              <w:top w:val="nil"/>
              <w:bottom w:val="nil"/>
            </w:tcBorders>
            <w:shd w:val="clear" w:color="auto" w:fill="EEECE1"/>
            <w:vAlign w:val="center"/>
          </w:tcPr>
          <w:p w14:paraId="560D7ED0" w14:textId="08173098"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221</w:t>
            </w:r>
          </w:p>
        </w:tc>
        <w:tc>
          <w:tcPr>
            <w:tcW w:w="1735" w:type="dxa"/>
            <w:tcBorders>
              <w:top w:val="nil"/>
              <w:bottom w:val="nil"/>
            </w:tcBorders>
            <w:vAlign w:val="center"/>
          </w:tcPr>
          <w:p w14:paraId="560D7ED1" w14:textId="6A70D848"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193</w:t>
            </w:r>
          </w:p>
        </w:tc>
        <w:tc>
          <w:tcPr>
            <w:tcW w:w="1667" w:type="dxa"/>
            <w:tcBorders>
              <w:top w:val="nil"/>
              <w:bottom w:val="nil"/>
            </w:tcBorders>
            <w:shd w:val="clear" w:color="auto" w:fill="EEECE1"/>
            <w:vAlign w:val="center"/>
          </w:tcPr>
          <w:p w14:paraId="560D7ED2" w14:textId="5CD3900D" w:rsidR="002F716A" w:rsidRPr="00DD6071" w:rsidRDefault="002109DB" w:rsidP="002F716A">
            <w:pPr>
              <w:jc w:val="right"/>
              <w:rPr>
                <w:rFonts w:asciiTheme="majorHAnsi" w:hAnsiTheme="majorHAnsi" w:cstheme="majorHAnsi"/>
                <w:iCs/>
                <w:sz w:val="20"/>
                <w:szCs w:val="20"/>
              </w:rPr>
            </w:pPr>
            <w:r>
              <w:rPr>
                <w:rFonts w:asciiTheme="majorHAnsi" w:hAnsiTheme="majorHAnsi"/>
                <w:sz w:val="20"/>
              </w:rPr>
              <w:t>14.6%</w:t>
            </w:r>
          </w:p>
        </w:tc>
      </w:tr>
      <w:tr w:rsidR="0003068D" w:rsidRPr="0003068D" w14:paraId="560D7ED8" w14:textId="77777777" w:rsidTr="008C4E99">
        <w:trPr>
          <w:trHeight w:val="227"/>
        </w:trPr>
        <w:tc>
          <w:tcPr>
            <w:tcW w:w="3969" w:type="dxa"/>
            <w:tcBorders>
              <w:top w:val="nil"/>
              <w:bottom w:val="nil"/>
            </w:tcBorders>
            <w:vAlign w:val="center"/>
          </w:tcPr>
          <w:p w14:paraId="560D7ED4"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Environment</w:t>
            </w:r>
          </w:p>
        </w:tc>
        <w:tc>
          <w:tcPr>
            <w:tcW w:w="1701" w:type="dxa"/>
            <w:tcBorders>
              <w:top w:val="nil"/>
              <w:bottom w:val="nil"/>
            </w:tcBorders>
            <w:shd w:val="clear" w:color="auto" w:fill="EEECE1"/>
            <w:vAlign w:val="center"/>
          </w:tcPr>
          <w:p w14:paraId="560D7ED5" w14:textId="1D92A88D"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33</w:t>
            </w:r>
          </w:p>
        </w:tc>
        <w:tc>
          <w:tcPr>
            <w:tcW w:w="1735" w:type="dxa"/>
            <w:tcBorders>
              <w:top w:val="nil"/>
              <w:bottom w:val="nil"/>
            </w:tcBorders>
            <w:vAlign w:val="center"/>
          </w:tcPr>
          <w:p w14:paraId="560D7ED6" w14:textId="5D994537" w:rsidR="002F716A" w:rsidRPr="00DD6071" w:rsidRDefault="00DD6071" w:rsidP="002F716A">
            <w:pPr>
              <w:jc w:val="right"/>
              <w:rPr>
                <w:rFonts w:asciiTheme="majorHAnsi" w:hAnsiTheme="majorHAnsi" w:cstheme="majorHAnsi"/>
                <w:iCs/>
                <w:sz w:val="20"/>
                <w:szCs w:val="20"/>
              </w:rPr>
            </w:pPr>
            <w:r>
              <w:rPr>
                <w:rFonts w:asciiTheme="majorHAnsi" w:hAnsiTheme="majorHAnsi"/>
                <w:sz w:val="20"/>
              </w:rPr>
              <w:t>39</w:t>
            </w:r>
          </w:p>
        </w:tc>
        <w:tc>
          <w:tcPr>
            <w:tcW w:w="1667" w:type="dxa"/>
            <w:tcBorders>
              <w:top w:val="nil"/>
              <w:bottom w:val="nil"/>
            </w:tcBorders>
            <w:shd w:val="clear" w:color="auto" w:fill="EEECE1"/>
            <w:vAlign w:val="center"/>
          </w:tcPr>
          <w:p w14:paraId="560D7ED7" w14:textId="5A37DC9E" w:rsidR="002F716A" w:rsidRPr="00DD6071" w:rsidRDefault="002F716A" w:rsidP="002F716A">
            <w:pPr>
              <w:jc w:val="right"/>
              <w:rPr>
                <w:rFonts w:asciiTheme="majorHAnsi" w:hAnsiTheme="majorHAnsi" w:cstheme="majorHAnsi"/>
                <w:iCs/>
                <w:sz w:val="20"/>
                <w:szCs w:val="20"/>
              </w:rPr>
            </w:pPr>
            <w:r>
              <w:rPr>
                <w:rFonts w:asciiTheme="majorHAnsi" w:hAnsiTheme="majorHAnsi"/>
                <w:sz w:val="20"/>
              </w:rPr>
              <w:t>-14.3%</w:t>
            </w:r>
          </w:p>
        </w:tc>
      </w:tr>
      <w:tr w:rsidR="0003068D" w:rsidRPr="0003068D" w14:paraId="560D7EDD" w14:textId="77777777" w:rsidTr="008C4E99">
        <w:trPr>
          <w:trHeight w:val="227"/>
        </w:trPr>
        <w:tc>
          <w:tcPr>
            <w:tcW w:w="3969" w:type="dxa"/>
            <w:tcBorders>
              <w:top w:val="nil"/>
              <w:bottom w:val="nil"/>
            </w:tcBorders>
            <w:vAlign w:val="center"/>
          </w:tcPr>
          <w:p w14:paraId="560D7ED9"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Energy (Generation, TLR, Energy Efficiency)</w:t>
            </w:r>
          </w:p>
        </w:tc>
        <w:tc>
          <w:tcPr>
            <w:tcW w:w="1701" w:type="dxa"/>
            <w:tcBorders>
              <w:top w:val="nil"/>
              <w:bottom w:val="nil"/>
            </w:tcBorders>
            <w:shd w:val="clear" w:color="auto" w:fill="EEECE1"/>
            <w:vAlign w:val="center"/>
          </w:tcPr>
          <w:p w14:paraId="560D7EDA" w14:textId="4EA28BE6" w:rsidR="002F716A" w:rsidRPr="00817088" w:rsidRDefault="00817088" w:rsidP="002F716A">
            <w:pPr>
              <w:jc w:val="right"/>
              <w:rPr>
                <w:rFonts w:asciiTheme="majorHAnsi" w:hAnsiTheme="majorHAnsi" w:cstheme="majorHAnsi"/>
                <w:iCs/>
                <w:sz w:val="20"/>
                <w:szCs w:val="20"/>
              </w:rPr>
            </w:pPr>
            <w:r>
              <w:rPr>
                <w:rFonts w:asciiTheme="majorHAnsi" w:hAnsiTheme="majorHAnsi"/>
                <w:sz w:val="20"/>
              </w:rPr>
              <w:t>60</w:t>
            </w:r>
          </w:p>
        </w:tc>
        <w:tc>
          <w:tcPr>
            <w:tcW w:w="1735" w:type="dxa"/>
            <w:tcBorders>
              <w:top w:val="nil"/>
              <w:bottom w:val="nil"/>
            </w:tcBorders>
            <w:vAlign w:val="center"/>
          </w:tcPr>
          <w:p w14:paraId="560D7EDB" w14:textId="45A976B4" w:rsidR="002F716A" w:rsidRPr="00817088" w:rsidRDefault="00817088" w:rsidP="002F716A">
            <w:pPr>
              <w:jc w:val="right"/>
              <w:rPr>
                <w:rFonts w:asciiTheme="majorHAnsi" w:hAnsiTheme="majorHAnsi" w:cstheme="majorHAnsi"/>
                <w:iCs/>
                <w:sz w:val="20"/>
                <w:szCs w:val="20"/>
              </w:rPr>
            </w:pPr>
            <w:r>
              <w:rPr>
                <w:rFonts w:asciiTheme="majorHAnsi" w:hAnsiTheme="majorHAnsi"/>
                <w:sz w:val="20"/>
              </w:rPr>
              <w:t>59</w:t>
            </w:r>
          </w:p>
        </w:tc>
        <w:tc>
          <w:tcPr>
            <w:tcW w:w="1667" w:type="dxa"/>
            <w:tcBorders>
              <w:top w:val="nil"/>
              <w:bottom w:val="nil"/>
            </w:tcBorders>
            <w:shd w:val="clear" w:color="auto" w:fill="EEECE1"/>
            <w:vAlign w:val="center"/>
          </w:tcPr>
          <w:p w14:paraId="560D7EDC" w14:textId="72D7DB15" w:rsidR="002F716A" w:rsidRPr="00817088" w:rsidRDefault="00817088" w:rsidP="002F716A">
            <w:pPr>
              <w:jc w:val="right"/>
              <w:rPr>
                <w:rFonts w:asciiTheme="majorHAnsi" w:hAnsiTheme="majorHAnsi" w:cstheme="majorHAnsi"/>
                <w:iCs/>
                <w:sz w:val="20"/>
                <w:szCs w:val="20"/>
              </w:rPr>
            </w:pPr>
            <w:r>
              <w:rPr>
                <w:rFonts w:asciiTheme="majorHAnsi" w:hAnsiTheme="majorHAnsi"/>
                <w:sz w:val="20"/>
              </w:rPr>
              <w:t>2.9%</w:t>
            </w:r>
          </w:p>
        </w:tc>
      </w:tr>
      <w:tr w:rsidR="0003068D" w:rsidRPr="0003068D" w14:paraId="560D7EE2" w14:textId="77777777" w:rsidTr="008C4E99">
        <w:trPr>
          <w:trHeight w:val="227"/>
        </w:trPr>
        <w:tc>
          <w:tcPr>
            <w:tcW w:w="3969" w:type="dxa"/>
            <w:tcBorders>
              <w:top w:val="nil"/>
              <w:bottom w:val="nil"/>
            </w:tcBorders>
            <w:vAlign w:val="center"/>
          </w:tcPr>
          <w:p w14:paraId="560D7EDE" w14:textId="77777777" w:rsidR="002F716A" w:rsidRPr="004B42B1"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BU Market</w:t>
            </w:r>
          </w:p>
        </w:tc>
        <w:tc>
          <w:tcPr>
            <w:tcW w:w="1701" w:type="dxa"/>
            <w:tcBorders>
              <w:top w:val="nil"/>
              <w:bottom w:val="nil"/>
            </w:tcBorders>
            <w:shd w:val="clear" w:color="auto" w:fill="EEECE1"/>
            <w:vAlign w:val="center"/>
          </w:tcPr>
          <w:p w14:paraId="560D7EDF" w14:textId="03D109BD" w:rsidR="002F716A" w:rsidRPr="00910918" w:rsidRDefault="00CD4A3A" w:rsidP="002F716A">
            <w:pPr>
              <w:jc w:val="right"/>
              <w:rPr>
                <w:rFonts w:asciiTheme="majorHAnsi" w:hAnsiTheme="majorHAnsi" w:cstheme="majorHAnsi"/>
                <w:iCs/>
                <w:sz w:val="20"/>
                <w:szCs w:val="20"/>
              </w:rPr>
            </w:pPr>
            <w:r>
              <w:rPr>
                <w:rFonts w:asciiTheme="majorHAnsi" w:hAnsiTheme="majorHAnsi"/>
                <w:sz w:val="20"/>
              </w:rPr>
              <w:t>87</w:t>
            </w:r>
          </w:p>
        </w:tc>
        <w:tc>
          <w:tcPr>
            <w:tcW w:w="1735" w:type="dxa"/>
            <w:tcBorders>
              <w:top w:val="nil"/>
              <w:bottom w:val="nil"/>
            </w:tcBorders>
            <w:vAlign w:val="center"/>
          </w:tcPr>
          <w:p w14:paraId="560D7EE0" w14:textId="2C16B702" w:rsidR="002F716A" w:rsidRPr="00910918" w:rsidRDefault="00CD4A3A" w:rsidP="002F716A">
            <w:pPr>
              <w:jc w:val="right"/>
              <w:rPr>
                <w:rFonts w:asciiTheme="majorHAnsi" w:hAnsiTheme="majorHAnsi" w:cstheme="majorHAnsi"/>
                <w:iCs/>
                <w:sz w:val="20"/>
                <w:szCs w:val="20"/>
              </w:rPr>
            </w:pPr>
            <w:r>
              <w:rPr>
                <w:rFonts w:asciiTheme="majorHAnsi" w:hAnsiTheme="majorHAnsi"/>
                <w:sz w:val="20"/>
              </w:rPr>
              <w:t>84</w:t>
            </w:r>
          </w:p>
        </w:tc>
        <w:tc>
          <w:tcPr>
            <w:tcW w:w="1667" w:type="dxa"/>
            <w:tcBorders>
              <w:top w:val="nil"/>
              <w:bottom w:val="nil"/>
            </w:tcBorders>
            <w:shd w:val="clear" w:color="auto" w:fill="EEECE1"/>
            <w:vAlign w:val="center"/>
          </w:tcPr>
          <w:p w14:paraId="560D7EE1" w14:textId="21940529" w:rsidR="002F716A" w:rsidRPr="00910918" w:rsidRDefault="00910918" w:rsidP="002F716A">
            <w:pPr>
              <w:jc w:val="right"/>
              <w:rPr>
                <w:rFonts w:asciiTheme="majorHAnsi" w:hAnsiTheme="majorHAnsi" w:cstheme="majorHAnsi"/>
                <w:iCs/>
                <w:sz w:val="20"/>
                <w:szCs w:val="20"/>
              </w:rPr>
            </w:pPr>
            <w:r>
              <w:rPr>
                <w:rFonts w:asciiTheme="majorHAnsi" w:hAnsiTheme="majorHAnsi"/>
                <w:sz w:val="20"/>
              </w:rPr>
              <w:t>3.7%</w:t>
            </w:r>
          </w:p>
        </w:tc>
      </w:tr>
      <w:tr w:rsidR="00D60624" w:rsidRPr="00D60624" w14:paraId="560D7EE7" w14:textId="77777777" w:rsidTr="008C4E99">
        <w:trPr>
          <w:trHeight w:val="227"/>
        </w:trPr>
        <w:tc>
          <w:tcPr>
            <w:tcW w:w="3969" w:type="dxa"/>
            <w:tcBorders>
              <w:top w:val="nil"/>
              <w:bottom w:val="single" w:sz="4" w:space="0" w:color="auto"/>
            </w:tcBorders>
            <w:vAlign w:val="center"/>
          </w:tcPr>
          <w:p w14:paraId="560D7EE3" w14:textId="77777777" w:rsidR="002F716A" w:rsidRPr="00D60624" w:rsidRDefault="002F716A" w:rsidP="002F716A">
            <w:pPr>
              <w:autoSpaceDE w:val="0"/>
              <w:autoSpaceDN w:val="0"/>
              <w:adjustRightInd w:val="0"/>
              <w:rPr>
                <w:rFonts w:asciiTheme="majorHAnsi" w:hAnsiTheme="majorHAnsi" w:cstheme="majorHAnsi"/>
                <w:sz w:val="20"/>
                <w:szCs w:val="20"/>
              </w:rPr>
            </w:pPr>
            <w:r>
              <w:rPr>
                <w:rFonts w:asciiTheme="majorHAnsi" w:hAnsiTheme="majorHAnsi"/>
                <w:sz w:val="20"/>
              </w:rPr>
              <w:t>Services and Other</w:t>
            </w:r>
          </w:p>
        </w:tc>
        <w:tc>
          <w:tcPr>
            <w:tcW w:w="1701" w:type="dxa"/>
            <w:tcBorders>
              <w:top w:val="nil"/>
              <w:bottom w:val="single" w:sz="4" w:space="0" w:color="auto"/>
            </w:tcBorders>
            <w:shd w:val="clear" w:color="auto" w:fill="EEECE1"/>
            <w:vAlign w:val="center"/>
          </w:tcPr>
          <w:p w14:paraId="560D7EE4" w14:textId="57CD8712" w:rsidR="002F716A" w:rsidRPr="00D60624" w:rsidRDefault="00DB1039" w:rsidP="002F716A">
            <w:pPr>
              <w:jc w:val="right"/>
              <w:rPr>
                <w:rFonts w:asciiTheme="majorHAnsi" w:hAnsiTheme="majorHAnsi" w:cstheme="majorHAnsi"/>
                <w:iCs/>
                <w:sz w:val="20"/>
                <w:szCs w:val="20"/>
              </w:rPr>
            </w:pPr>
            <w:r>
              <w:rPr>
                <w:rFonts w:asciiTheme="majorHAnsi" w:hAnsiTheme="majorHAnsi"/>
                <w:sz w:val="20"/>
              </w:rPr>
              <w:t>0</w:t>
            </w:r>
          </w:p>
        </w:tc>
        <w:tc>
          <w:tcPr>
            <w:tcW w:w="1735" w:type="dxa"/>
            <w:tcBorders>
              <w:top w:val="nil"/>
              <w:bottom w:val="single" w:sz="4" w:space="0" w:color="auto"/>
            </w:tcBorders>
            <w:vAlign w:val="center"/>
          </w:tcPr>
          <w:p w14:paraId="560D7EE5" w14:textId="70520AF2" w:rsidR="002F716A" w:rsidRPr="00D60624" w:rsidRDefault="00D45977" w:rsidP="002F716A">
            <w:pPr>
              <w:jc w:val="right"/>
              <w:rPr>
                <w:rFonts w:asciiTheme="majorHAnsi" w:hAnsiTheme="majorHAnsi" w:cstheme="majorHAnsi"/>
                <w:iCs/>
                <w:sz w:val="20"/>
                <w:szCs w:val="20"/>
              </w:rPr>
            </w:pPr>
            <w:r>
              <w:rPr>
                <w:rFonts w:asciiTheme="majorHAnsi" w:hAnsiTheme="majorHAnsi"/>
                <w:sz w:val="20"/>
              </w:rPr>
              <w:t>2</w:t>
            </w:r>
          </w:p>
        </w:tc>
        <w:tc>
          <w:tcPr>
            <w:tcW w:w="1667" w:type="dxa"/>
            <w:tcBorders>
              <w:top w:val="nil"/>
              <w:bottom w:val="single" w:sz="4" w:space="0" w:color="auto"/>
            </w:tcBorders>
            <w:shd w:val="clear" w:color="auto" w:fill="EEECE1"/>
            <w:vAlign w:val="center"/>
          </w:tcPr>
          <w:p w14:paraId="560D7EE6" w14:textId="7D2DFA5E" w:rsidR="002F716A" w:rsidRPr="00D60624" w:rsidRDefault="00DB1039" w:rsidP="002F716A">
            <w:pPr>
              <w:jc w:val="right"/>
              <w:rPr>
                <w:rFonts w:asciiTheme="majorHAnsi" w:hAnsiTheme="majorHAnsi" w:cstheme="majorHAnsi"/>
                <w:iCs/>
                <w:sz w:val="20"/>
                <w:szCs w:val="20"/>
              </w:rPr>
            </w:pPr>
            <w:r>
              <w:rPr>
                <w:rFonts w:asciiTheme="majorHAnsi" w:hAnsiTheme="majorHAnsi"/>
                <w:sz w:val="20"/>
              </w:rPr>
              <w:t>(*)</w:t>
            </w:r>
          </w:p>
        </w:tc>
      </w:tr>
    </w:tbl>
    <w:p w14:paraId="560D7EEA" w14:textId="220219EE" w:rsidR="006A3B63" w:rsidRPr="00D60624" w:rsidRDefault="006A3B63" w:rsidP="00E33D81">
      <w:pPr>
        <w:pStyle w:val="titoletto"/>
        <w:rPr>
          <w:rFonts w:asciiTheme="majorHAnsi" w:hAnsiTheme="majorHAnsi" w:cstheme="majorHAnsi"/>
          <w:highlight w:val="yellow"/>
        </w:rPr>
      </w:pPr>
      <w:r>
        <w:rPr>
          <w:rFonts w:asciiTheme="majorHAnsi" w:hAnsiTheme="majorHAnsi"/>
        </w:rPr>
        <w:t>Networks (</w:t>
      </w:r>
      <w:r w:rsidR="00CA6733">
        <w:rPr>
          <w:rFonts w:asciiTheme="majorHAnsi" w:hAnsiTheme="majorHAnsi"/>
        </w:rPr>
        <w:t>power</w:t>
      </w:r>
      <w:r>
        <w:rPr>
          <w:rFonts w:asciiTheme="majorHAnsi" w:hAnsiTheme="majorHAnsi"/>
        </w:rPr>
        <w:t xml:space="preserve"> and water infrastructures)</w:t>
      </w:r>
    </w:p>
    <w:p w14:paraId="5303B47F" w14:textId="74634789" w:rsidR="004631FC" w:rsidRPr="00D60624" w:rsidRDefault="006A3B63" w:rsidP="008100C6">
      <w:pPr>
        <w:autoSpaceDE w:val="0"/>
        <w:autoSpaceDN w:val="0"/>
        <w:adjustRightInd w:val="0"/>
        <w:spacing w:after="240"/>
        <w:jc w:val="both"/>
        <w:rPr>
          <w:rFonts w:asciiTheme="majorHAnsi" w:hAnsiTheme="majorHAnsi" w:cstheme="majorHAnsi"/>
          <w:spacing w:val="-2"/>
          <w:sz w:val="22"/>
          <w:szCs w:val="22"/>
        </w:rPr>
      </w:pPr>
      <w:r>
        <w:rPr>
          <w:rFonts w:asciiTheme="majorHAnsi" w:hAnsiTheme="majorHAnsi"/>
          <w:sz w:val="22"/>
        </w:rPr>
        <w:t>The </w:t>
      </w:r>
      <w:r>
        <w:rPr>
          <w:rFonts w:asciiTheme="majorHAnsi" w:hAnsiTheme="majorHAnsi"/>
          <w:b/>
          <w:sz w:val="22"/>
        </w:rPr>
        <w:t>Gross Operating Margin (EBITDA)</w:t>
      </w:r>
      <w:r>
        <w:rPr>
          <w:rFonts w:asciiTheme="majorHAnsi" w:hAnsiTheme="majorHAnsi"/>
          <w:sz w:val="22"/>
        </w:rPr>
        <w:t xml:space="preserve"> reached Euro 404.2 million, marking a 12.6% increase from Euro 359.1 million in the previous year, primarily due to higher tariff constraints and the aforementioned technical and commercial quality premiums of the integrated water cycle.</w:t>
      </w:r>
    </w:p>
    <w:p w14:paraId="560D7EEE" w14:textId="2B083201" w:rsidR="006A3B63" w:rsidRPr="00D60624" w:rsidRDefault="006A3B63" w:rsidP="008100C6">
      <w:pPr>
        <w:autoSpaceDE w:val="0"/>
        <w:autoSpaceDN w:val="0"/>
        <w:adjustRightInd w:val="0"/>
        <w:spacing w:after="240"/>
        <w:jc w:val="both"/>
        <w:rPr>
          <w:rFonts w:asciiTheme="majorHAnsi" w:hAnsiTheme="majorHAnsi" w:cstheme="majorHAnsi"/>
          <w:sz w:val="22"/>
          <w:szCs w:val="22"/>
        </w:rPr>
      </w:pPr>
      <w:r>
        <w:rPr>
          <w:rFonts w:asciiTheme="majorHAnsi" w:hAnsiTheme="majorHAnsi"/>
          <w:sz w:val="22"/>
        </w:rPr>
        <w:t xml:space="preserve">During the first nine months of 2025, the Group distributed 2,706 GWh of </w:t>
      </w:r>
      <w:r>
        <w:rPr>
          <w:rFonts w:asciiTheme="majorHAnsi" w:hAnsiTheme="majorHAnsi"/>
          <w:b/>
          <w:sz w:val="22"/>
        </w:rPr>
        <w:t>electricity</w:t>
      </w:r>
      <w:r>
        <w:rPr>
          <w:rFonts w:asciiTheme="majorHAnsi" w:hAnsiTheme="majorHAnsi"/>
          <w:sz w:val="22"/>
        </w:rPr>
        <w:t>, 756 million cubic metres of</w:t>
      </w:r>
      <w:r>
        <w:rPr>
          <w:rFonts w:asciiTheme="majorHAnsi" w:hAnsiTheme="majorHAnsi"/>
          <w:b/>
          <w:sz w:val="22"/>
        </w:rPr>
        <w:t xml:space="preserve"> gas </w:t>
      </w:r>
      <w:r>
        <w:rPr>
          <w:rFonts w:asciiTheme="majorHAnsi" w:hAnsiTheme="majorHAnsi"/>
          <w:sz w:val="22"/>
        </w:rPr>
        <w:t xml:space="preserve">and sold 142 million cubic metres of </w:t>
      </w:r>
      <w:r>
        <w:rPr>
          <w:rFonts w:asciiTheme="majorHAnsi" w:hAnsiTheme="majorHAnsi"/>
          <w:b/>
          <w:sz w:val="22"/>
        </w:rPr>
        <w:t>water</w:t>
      </w:r>
      <w:r>
        <w:rPr>
          <w:rFonts w:asciiTheme="majorHAnsi" w:hAnsiTheme="majorHAnsi"/>
          <w:sz w:val="22"/>
        </w:rPr>
        <w:t>.</w:t>
      </w:r>
    </w:p>
    <w:p w14:paraId="5A4E3052" w14:textId="556DD56D" w:rsidR="004F5B67" w:rsidRPr="00D60624" w:rsidRDefault="00AE54F6" w:rsidP="007D6EE9">
      <w:pPr>
        <w:autoSpaceDE w:val="0"/>
        <w:autoSpaceDN w:val="0"/>
        <w:adjustRightInd w:val="0"/>
        <w:jc w:val="both"/>
        <w:rPr>
          <w:rFonts w:asciiTheme="majorHAnsi" w:hAnsiTheme="majorHAnsi" w:cstheme="majorHAnsi"/>
          <w:b/>
          <w:i/>
          <w:smallCaps/>
          <w:sz w:val="22"/>
          <w:szCs w:val="22"/>
          <w:highlight w:val="yellow"/>
        </w:rPr>
      </w:pPr>
      <w:r>
        <w:rPr>
          <w:rFonts w:asciiTheme="majorHAnsi" w:hAnsiTheme="majorHAnsi"/>
          <w:sz w:val="22"/>
        </w:rPr>
        <w:t xml:space="preserve">As of 30 September 2025, the sector's </w:t>
      </w:r>
      <w:r>
        <w:rPr>
          <w:rFonts w:asciiTheme="majorHAnsi" w:hAnsiTheme="majorHAnsi"/>
          <w:b/>
          <w:sz w:val="22"/>
        </w:rPr>
        <w:t>gross investments</w:t>
      </w:r>
      <w:r>
        <w:rPr>
          <w:rFonts w:asciiTheme="majorHAnsi" w:hAnsiTheme="majorHAnsi"/>
          <w:sz w:val="22"/>
        </w:rPr>
        <w:t xml:space="preserve"> total Euro 279 million, which is a 9.5% increase compared to the same period in 2024. These funds are allocated for the construction, development, and extraordinary maintenance of the integrated water service network and the renovation of wastewater treatment plants. Additionally, investments are directed towards enhancing the resilience of the electricity distribution network, constructing new primary and secondary substations—some of which are part of the PNRR plan—installing electronic meters, digitising operations, and redeveloping instrumental properties.</w:t>
      </w:r>
    </w:p>
    <w:p w14:paraId="560D7EF1" w14:textId="4FC52CA2" w:rsidR="006A3B63" w:rsidRPr="008452C0" w:rsidRDefault="006A3B63" w:rsidP="006A3B63">
      <w:pPr>
        <w:pStyle w:val="titoletto"/>
        <w:rPr>
          <w:rFonts w:asciiTheme="majorHAnsi" w:hAnsiTheme="majorHAnsi" w:cstheme="majorHAnsi"/>
        </w:rPr>
      </w:pPr>
      <w:r>
        <w:rPr>
          <w:rFonts w:asciiTheme="majorHAnsi" w:hAnsiTheme="majorHAnsi"/>
        </w:rPr>
        <w:lastRenderedPageBreak/>
        <w:t>Waste management</w:t>
      </w:r>
    </w:p>
    <w:p w14:paraId="68845B35" w14:textId="43E1E0B5" w:rsidR="008452C0" w:rsidRPr="008452C0" w:rsidRDefault="006A3B63" w:rsidP="008452C0">
      <w:pPr>
        <w:autoSpaceDE w:val="0"/>
        <w:autoSpaceDN w:val="0"/>
        <w:adjustRightInd w:val="0"/>
        <w:spacing w:after="240"/>
        <w:jc w:val="both"/>
        <w:rPr>
          <w:rFonts w:asciiTheme="majorHAnsi" w:hAnsiTheme="majorHAnsi" w:cstheme="majorHAnsi"/>
          <w:sz w:val="22"/>
          <w:szCs w:val="22"/>
        </w:rPr>
      </w:pPr>
      <w:r>
        <w:rPr>
          <w:rFonts w:asciiTheme="majorHAnsi" w:hAnsiTheme="majorHAnsi"/>
          <w:sz w:val="22"/>
        </w:rPr>
        <w:t xml:space="preserve">The </w:t>
      </w:r>
      <w:r>
        <w:rPr>
          <w:rFonts w:asciiTheme="majorHAnsi" w:hAnsiTheme="majorHAnsi"/>
          <w:b/>
          <w:sz w:val="22"/>
        </w:rPr>
        <w:t>Gross Operating Margin (EBITDA)</w:t>
      </w:r>
      <w:r>
        <w:rPr>
          <w:rFonts w:asciiTheme="majorHAnsi" w:hAnsiTheme="majorHAnsi"/>
          <w:sz w:val="22"/>
        </w:rPr>
        <w:t xml:space="preserve"> amounts to Euro 199.6 million, an increase of 3.1% compared to Euro 193.7 million in the first nine months of 2024. The increase in margin, approximately Euro 3 million, is attributable to the contributions from EGEA </w:t>
      </w:r>
      <w:proofErr w:type="spellStart"/>
      <w:r>
        <w:rPr>
          <w:rFonts w:asciiTheme="majorHAnsi" w:hAnsiTheme="majorHAnsi"/>
          <w:sz w:val="22"/>
        </w:rPr>
        <w:t>Ambiente</w:t>
      </w:r>
      <w:proofErr w:type="spellEnd"/>
      <w:r>
        <w:rPr>
          <w:rFonts w:asciiTheme="majorHAnsi" w:hAnsiTheme="majorHAnsi"/>
          <w:sz w:val="22"/>
        </w:rPr>
        <w:t xml:space="preserve"> and </w:t>
      </w:r>
      <w:proofErr w:type="spellStart"/>
      <w:r>
        <w:rPr>
          <w:rFonts w:asciiTheme="majorHAnsi" w:hAnsiTheme="majorHAnsi"/>
          <w:sz w:val="22"/>
        </w:rPr>
        <w:t>Sisea</w:t>
      </w:r>
      <w:proofErr w:type="spellEnd"/>
      <w:r>
        <w:rPr>
          <w:rFonts w:asciiTheme="majorHAnsi" w:hAnsiTheme="majorHAnsi"/>
          <w:sz w:val="22"/>
        </w:rPr>
        <w:t xml:space="preserve">, part of the EGEA Holding group, as well as improvements in the processing and valorisation of separate collection, also thanks to the valorisation plant at Le </w:t>
      </w:r>
      <w:proofErr w:type="spellStart"/>
      <w:r>
        <w:rPr>
          <w:rFonts w:asciiTheme="majorHAnsi" w:hAnsiTheme="majorHAnsi"/>
          <w:sz w:val="22"/>
        </w:rPr>
        <w:t>Cortine</w:t>
      </w:r>
      <w:proofErr w:type="spellEnd"/>
      <w:r>
        <w:rPr>
          <w:rFonts w:asciiTheme="majorHAnsi" w:hAnsiTheme="majorHAnsi"/>
          <w:sz w:val="22"/>
        </w:rPr>
        <w:t xml:space="preserve"> (Siena </w:t>
      </w:r>
      <w:proofErr w:type="spellStart"/>
      <w:r>
        <w:rPr>
          <w:rFonts w:asciiTheme="majorHAnsi" w:hAnsiTheme="majorHAnsi"/>
          <w:sz w:val="22"/>
        </w:rPr>
        <w:t>Ambiente</w:t>
      </w:r>
      <w:proofErr w:type="spellEnd"/>
      <w:r>
        <w:rPr>
          <w:rFonts w:asciiTheme="majorHAnsi" w:hAnsiTheme="majorHAnsi"/>
          <w:sz w:val="22"/>
        </w:rPr>
        <w:t>), operational from the second half of 2024, and other smaller waste treatment plants. Conversely, there was a slight decline in disposal and collection activities, with the benefit generated from the approval of the new economic-financial plans in the Tuscany and La Spezia areas being absorbed by contingent liabilities related to adjustments in waste tariffs from previous years.</w:t>
      </w:r>
    </w:p>
    <w:p w14:paraId="560D7EF6" w14:textId="1813EF5A" w:rsidR="006A3B63" w:rsidRPr="00E20C61" w:rsidRDefault="006A3B63" w:rsidP="00CA17E1">
      <w:pPr>
        <w:autoSpaceDE w:val="0"/>
        <w:autoSpaceDN w:val="0"/>
        <w:adjustRightInd w:val="0"/>
        <w:spacing w:after="240"/>
        <w:jc w:val="both"/>
        <w:rPr>
          <w:rFonts w:asciiTheme="majorHAnsi" w:hAnsiTheme="majorHAnsi" w:cstheme="majorHAnsi"/>
          <w:sz w:val="22"/>
          <w:szCs w:val="22"/>
        </w:rPr>
      </w:pPr>
      <w:r>
        <w:rPr>
          <w:rFonts w:asciiTheme="majorHAnsi" w:hAnsiTheme="majorHAnsi"/>
          <w:sz w:val="22"/>
        </w:rPr>
        <w:t xml:space="preserve">During the first nine months of 2025, the </w:t>
      </w:r>
      <w:r>
        <w:rPr>
          <w:rFonts w:asciiTheme="majorHAnsi" w:hAnsiTheme="majorHAnsi"/>
          <w:b/>
          <w:sz w:val="22"/>
        </w:rPr>
        <w:t>waste handled</w:t>
      </w:r>
      <w:r>
        <w:rPr>
          <w:rFonts w:asciiTheme="majorHAnsi" w:hAnsiTheme="majorHAnsi"/>
          <w:sz w:val="22"/>
        </w:rPr>
        <w:t xml:space="preserve"> amounted to approximately 3,150 thousand tonnes.</w:t>
      </w:r>
    </w:p>
    <w:p w14:paraId="0F9ADCE7" w14:textId="6EB6F3FC" w:rsidR="00DE624D" w:rsidRPr="00E20C61" w:rsidRDefault="006A3B63" w:rsidP="00DE624D">
      <w:pPr>
        <w:autoSpaceDE w:val="0"/>
        <w:autoSpaceDN w:val="0"/>
        <w:adjustRightInd w:val="0"/>
        <w:jc w:val="both"/>
        <w:rPr>
          <w:rFonts w:asciiTheme="majorHAnsi" w:hAnsiTheme="majorHAnsi" w:cstheme="majorHAnsi"/>
          <w:sz w:val="22"/>
          <w:szCs w:val="22"/>
        </w:rPr>
      </w:pPr>
      <w:r>
        <w:rPr>
          <w:rFonts w:asciiTheme="majorHAnsi" w:hAnsiTheme="majorHAnsi"/>
          <w:sz w:val="22"/>
        </w:rPr>
        <w:t xml:space="preserve">As at 30 September 2025, </w:t>
      </w:r>
      <w:r>
        <w:rPr>
          <w:rFonts w:asciiTheme="majorHAnsi" w:hAnsiTheme="majorHAnsi"/>
          <w:b/>
          <w:sz w:val="22"/>
        </w:rPr>
        <w:t>gross</w:t>
      </w:r>
      <w:r>
        <w:rPr>
          <w:rFonts w:asciiTheme="majorHAnsi" w:hAnsiTheme="majorHAnsi"/>
          <w:sz w:val="22"/>
        </w:rPr>
        <w:t xml:space="preserve"> </w:t>
      </w:r>
      <w:r>
        <w:rPr>
          <w:rFonts w:asciiTheme="majorHAnsi" w:hAnsiTheme="majorHAnsi"/>
          <w:b/>
          <w:sz w:val="22"/>
        </w:rPr>
        <w:t>investments</w:t>
      </w:r>
      <w:r>
        <w:rPr>
          <w:rFonts w:asciiTheme="majorHAnsi" w:hAnsiTheme="majorHAnsi"/>
          <w:sz w:val="22"/>
        </w:rPr>
        <w:t xml:space="preserve"> in the sector amounted to 113.1 million euros, up +5.5% compared to 107.2 million euros in the previous year. Investments relate to the purchase of collection vehicles and equipment and the construction of plants; in particular, these include the FORSU plant in La Spezia, the paper treatment plant (IRM) in </w:t>
      </w:r>
      <w:proofErr w:type="spellStart"/>
      <w:r>
        <w:rPr>
          <w:rFonts w:asciiTheme="majorHAnsi" w:hAnsiTheme="majorHAnsi"/>
          <w:sz w:val="22"/>
        </w:rPr>
        <w:t>Collegno</w:t>
      </w:r>
      <w:proofErr w:type="spellEnd"/>
      <w:r>
        <w:rPr>
          <w:rFonts w:asciiTheme="majorHAnsi" w:hAnsiTheme="majorHAnsi"/>
          <w:sz w:val="22"/>
        </w:rPr>
        <w:t xml:space="preserve"> (Turin), and the plastics recycling plant in Costa di Rovigo.</w:t>
      </w:r>
    </w:p>
    <w:p w14:paraId="560D7EF8" w14:textId="43193321" w:rsidR="0066645E" w:rsidRPr="00E20C61" w:rsidRDefault="00A2451D" w:rsidP="00DE624D">
      <w:pPr>
        <w:pStyle w:val="titoletto"/>
        <w:rPr>
          <w:rFonts w:asciiTheme="majorHAnsi" w:hAnsiTheme="majorHAnsi" w:cstheme="majorHAnsi"/>
        </w:rPr>
      </w:pPr>
      <w:r>
        <w:rPr>
          <w:rFonts w:asciiTheme="majorHAnsi" w:hAnsiTheme="majorHAnsi"/>
        </w:rPr>
        <w:t>Energy (Generation, district heating and energy efficiency)</w:t>
      </w:r>
    </w:p>
    <w:p w14:paraId="67CF0217" w14:textId="41BEE572" w:rsidR="00281750" w:rsidRPr="00EB39EA" w:rsidRDefault="0066645E" w:rsidP="00EB39EA">
      <w:pPr>
        <w:autoSpaceDE w:val="0"/>
        <w:autoSpaceDN w:val="0"/>
        <w:adjustRightInd w:val="0"/>
        <w:jc w:val="both"/>
        <w:rPr>
          <w:rFonts w:asciiTheme="majorHAnsi" w:hAnsiTheme="majorHAnsi" w:cstheme="majorHAnsi"/>
          <w:sz w:val="22"/>
          <w:szCs w:val="22"/>
        </w:rPr>
      </w:pPr>
      <w:r>
        <w:rPr>
          <w:rFonts w:asciiTheme="majorHAnsi" w:hAnsiTheme="majorHAnsi"/>
          <w:sz w:val="22"/>
        </w:rPr>
        <w:t xml:space="preserve">The </w:t>
      </w:r>
      <w:r>
        <w:rPr>
          <w:rFonts w:asciiTheme="majorHAnsi" w:hAnsiTheme="majorHAnsi"/>
          <w:b/>
          <w:sz w:val="22"/>
        </w:rPr>
        <w:t>Gross Operating Margin (EBITDA)</w:t>
      </w:r>
      <w:r>
        <w:rPr>
          <w:rFonts w:asciiTheme="majorHAnsi" w:hAnsiTheme="majorHAnsi"/>
          <w:sz w:val="22"/>
        </w:rPr>
        <w:t xml:space="preserve"> of the sector amounts to Euro 198.3 million, an increase of 5.7% compared to Euro 187.6 million in the first nine months of 2024. The trend in the energy scenario was characterised by increasing prices compared to the first nine months of 2024, but a slowdown compared to the first half of 2025. This led to positive effects on thermoelectric and cogeneration production margins, also thanks to increased revenues from the 'capacity market' service fee, partially compensated by a decline in the hydroelectric production margin, primarily due to a 7.6% reduction in output because of low water availability during the summer period. Heat production intended for district heating also shows improvement due to the increased production volumes, which enabled the absorption of the declining sales margins, also because of the non-repeatable positive effects on hedging, from which the 2024 margin had benefited. Energy efficiency activities for the construction sites related to the so-called '</w:t>
      </w:r>
      <w:proofErr w:type="spellStart"/>
      <w:r>
        <w:rPr>
          <w:rFonts w:asciiTheme="majorHAnsi" w:hAnsiTheme="majorHAnsi"/>
          <w:sz w:val="22"/>
        </w:rPr>
        <w:t>Superbonus</w:t>
      </w:r>
      <w:proofErr w:type="spellEnd"/>
      <w:r>
        <w:rPr>
          <w:rFonts w:asciiTheme="majorHAnsi" w:hAnsiTheme="majorHAnsi"/>
          <w:sz w:val="22"/>
        </w:rPr>
        <w:t xml:space="preserve"> 110%' of the non-profit organisations, now approaching completion, have contributed to the margin improvement.</w:t>
      </w:r>
    </w:p>
    <w:p w14:paraId="2536E42B" w14:textId="77777777" w:rsidR="00EB39EA" w:rsidRPr="0003068D" w:rsidRDefault="00EB39EA" w:rsidP="00EB39EA">
      <w:pPr>
        <w:autoSpaceDE w:val="0"/>
        <w:autoSpaceDN w:val="0"/>
        <w:adjustRightInd w:val="0"/>
        <w:jc w:val="both"/>
        <w:rPr>
          <w:rFonts w:asciiTheme="majorHAnsi" w:hAnsiTheme="majorHAnsi" w:cstheme="majorHAnsi"/>
          <w:color w:val="EE0000"/>
          <w:spacing w:val="-6"/>
          <w:sz w:val="22"/>
          <w:szCs w:val="22"/>
        </w:rPr>
      </w:pPr>
    </w:p>
    <w:p w14:paraId="467FE8C4" w14:textId="615026D7" w:rsidR="00EC7EC3" w:rsidRPr="005616A7" w:rsidRDefault="00D37635" w:rsidP="00EC7EC3">
      <w:pPr>
        <w:jc w:val="both"/>
        <w:rPr>
          <w:rFonts w:asciiTheme="majorHAnsi" w:hAnsiTheme="majorHAnsi" w:cstheme="majorHAnsi"/>
          <w:sz w:val="22"/>
          <w:szCs w:val="22"/>
          <w:highlight w:val="yellow"/>
        </w:rPr>
      </w:pPr>
      <w:r>
        <w:rPr>
          <w:rFonts w:asciiTheme="majorHAnsi" w:hAnsiTheme="majorHAnsi"/>
          <w:sz w:val="22"/>
        </w:rPr>
        <w:t>In the period, the total </w:t>
      </w:r>
      <w:r>
        <w:rPr>
          <w:rFonts w:asciiTheme="majorHAnsi" w:hAnsiTheme="majorHAnsi"/>
          <w:b/>
          <w:sz w:val="22"/>
        </w:rPr>
        <w:t xml:space="preserve">electricity </w:t>
      </w:r>
      <w:r>
        <w:rPr>
          <w:rFonts w:asciiTheme="majorHAnsi" w:hAnsiTheme="majorHAnsi"/>
          <w:sz w:val="22"/>
        </w:rPr>
        <w:t>produced by the Power BU</w:t>
      </w:r>
      <w:r>
        <w:rPr>
          <w:rFonts w:asciiTheme="majorHAnsi" w:hAnsiTheme="majorHAnsi"/>
          <w:b/>
          <w:sz w:val="22"/>
        </w:rPr>
        <w:t xml:space="preserve"> </w:t>
      </w:r>
      <w:r>
        <w:rPr>
          <w:rFonts w:asciiTheme="majorHAnsi" w:hAnsiTheme="majorHAnsi"/>
          <w:sz w:val="22"/>
        </w:rPr>
        <w:t xml:space="preserve">amounted to 5,772 GWh, down by 5.2% compared to 6,091 GWh in the same period last year. Electricity production from cogeneration was 2,990 GWh (-5.3%), thermoelectric production was 1,454 GWh (-4.1%), and production from renewable sources was 1,329 GWh (-6.3%). </w:t>
      </w:r>
    </w:p>
    <w:p w14:paraId="639C5EE6" w14:textId="77777777" w:rsidR="00EC7EC3" w:rsidRPr="005616A7" w:rsidRDefault="00EC7EC3" w:rsidP="00EC7EC3">
      <w:pPr>
        <w:jc w:val="both"/>
        <w:rPr>
          <w:rFonts w:asciiTheme="majorHAnsi" w:hAnsiTheme="majorHAnsi" w:cstheme="majorHAnsi"/>
          <w:sz w:val="22"/>
          <w:szCs w:val="22"/>
        </w:rPr>
      </w:pPr>
    </w:p>
    <w:p w14:paraId="5DBF4EED" w14:textId="27C7012B" w:rsidR="00814D4B" w:rsidRPr="005616A7" w:rsidRDefault="00EC7EC3" w:rsidP="00AC0B7E">
      <w:pPr>
        <w:jc w:val="both"/>
        <w:rPr>
          <w:rFonts w:asciiTheme="majorHAnsi" w:hAnsiTheme="majorHAnsi" w:cstheme="majorHAnsi"/>
          <w:sz w:val="22"/>
          <w:szCs w:val="22"/>
        </w:rPr>
      </w:pPr>
      <w:r>
        <w:rPr>
          <w:rFonts w:asciiTheme="majorHAnsi" w:hAnsiTheme="majorHAnsi"/>
          <w:sz w:val="22"/>
        </w:rPr>
        <w:t xml:space="preserve">The </w:t>
      </w:r>
      <w:r>
        <w:rPr>
          <w:rFonts w:asciiTheme="majorHAnsi" w:hAnsiTheme="majorHAnsi"/>
          <w:b/>
          <w:sz w:val="22"/>
        </w:rPr>
        <w:t>heat</w:t>
      </w:r>
      <w:r>
        <w:rPr>
          <w:rFonts w:asciiTheme="majorHAnsi" w:hAnsiTheme="majorHAnsi"/>
          <w:sz w:val="22"/>
        </w:rPr>
        <w:t xml:space="preserve"> produced amounted to 1,725 </w:t>
      </w:r>
      <w:proofErr w:type="spellStart"/>
      <w:r>
        <w:rPr>
          <w:rFonts w:asciiTheme="majorHAnsi" w:hAnsiTheme="majorHAnsi"/>
          <w:sz w:val="22"/>
        </w:rPr>
        <w:t>GWht</w:t>
      </w:r>
      <w:proofErr w:type="spellEnd"/>
      <w:r>
        <w:rPr>
          <w:rFonts w:asciiTheme="majorHAnsi" w:hAnsiTheme="majorHAnsi"/>
          <w:sz w:val="22"/>
        </w:rPr>
        <w:t>, an increase of 10.3% compared to the same period in 2024 due to a more favourable heating season and network developments to 113.6 Mmc of district heating volumes compared to 101.3 Mmc in the first nine months of 2024 (+12.2%), also thanks to the integration with EGEA Holding group companies.</w:t>
      </w:r>
    </w:p>
    <w:p w14:paraId="513F2E5D" w14:textId="77777777" w:rsidR="005616A7" w:rsidRPr="0003068D" w:rsidRDefault="005616A7" w:rsidP="00AC0B7E">
      <w:pPr>
        <w:jc w:val="both"/>
        <w:rPr>
          <w:rFonts w:asciiTheme="majorHAnsi" w:hAnsiTheme="majorHAnsi" w:cstheme="majorHAnsi"/>
          <w:color w:val="EE0000"/>
          <w:sz w:val="22"/>
          <w:szCs w:val="22"/>
        </w:rPr>
      </w:pPr>
    </w:p>
    <w:p w14:paraId="243D933A" w14:textId="01F0DE4B" w:rsidR="00E21008" w:rsidRPr="00245546" w:rsidRDefault="0066645E" w:rsidP="00AC0B7E">
      <w:pPr>
        <w:jc w:val="both"/>
        <w:rPr>
          <w:rFonts w:asciiTheme="majorHAnsi" w:hAnsiTheme="majorHAnsi" w:cstheme="majorHAnsi"/>
          <w:sz w:val="22"/>
          <w:szCs w:val="22"/>
          <w:highlight w:val="yellow"/>
        </w:rPr>
      </w:pPr>
      <w:r>
        <w:rPr>
          <w:rFonts w:asciiTheme="majorHAnsi" w:hAnsiTheme="majorHAnsi"/>
          <w:sz w:val="22"/>
        </w:rPr>
        <w:lastRenderedPageBreak/>
        <w:t xml:space="preserve">As of 30 September 2025, </w:t>
      </w:r>
      <w:r>
        <w:rPr>
          <w:rFonts w:asciiTheme="majorHAnsi" w:hAnsiTheme="majorHAnsi"/>
          <w:b/>
          <w:sz w:val="22"/>
        </w:rPr>
        <w:t>gross investments</w:t>
      </w:r>
      <w:r>
        <w:rPr>
          <w:rFonts w:asciiTheme="majorHAnsi" w:hAnsiTheme="majorHAnsi"/>
          <w:sz w:val="22"/>
        </w:rPr>
        <w:t xml:space="preserve"> amounted to Euro 107.4 million, an increase of 0.5% compared to Euro 106.9 million in the first nine months of 2024. Major projects include the development of district heating networks and photovoltaic plants.</w:t>
      </w:r>
    </w:p>
    <w:p w14:paraId="560D7F01" w14:textId="0F126EA3" w:rsidR="0066645E" w:rsidRPr="00245546" w:rsidRDefault="0066645E" w:rsidP="00A74E1F">
      <w:pPr>
        <w:autoSpaceDE w:val="0"/>
        <w:autoSpaceDN w:val="0"/>
        <w:adjustRightInd w:val="0"/>
        <w:spacing w:before="400" w:after="120"/>
        <w:jc w:val="both"/>
        <w:rPr>
          <w:rFonts w:asciiTheme="majorHAnsi" w:hAnsiTheme="majorHAnsi" w:cstheme="majorHAnsi"/>
          <w:b/>
          <w:i/>
          <w:smallCaps/>
          <w:sz w:val="22"/>
          <w:szCs w:val="22"/>
        </w:rPr>
      </w:pPr>
      <w:r>
        <w:rPr>
          <w:rFonts w:asciiTheme="majorHAnsi" w:hAnsiTheme="majorHAnsi"/>
          <w:b/>
          <w:i/>
          <w:smallCaps/>
          <w:sz w:val="22"/>
        </w:rPr>
        <w:t xml:space="preserve">Market </w:t>
      </w:r>
    </w:p>
    <w:p w14:paraId="0ED29F5B" w14:textId="4012CDE1" w:rsidR="00AE05AB" w:rsidRPr="00FA3D33" w:rsidRDefault="0066645E" w:rsidP="009E4500">
      <w:pPr>
        <w:autoSpaceDE w:val="0"/>
        <w:autoSpaceDN w:val="0"/>
        <w:adjustRightInd w:val="0"/>
        <w:jc w:val="both"/>
        <w:rPr>
          <w:rFonts w:asciiTheme="majorHAnsi" w:hAnsiTheme="majorHAnsi" w:cstheme="majorHAnsi"/>
          <w:sz w:val="22"/>
          <w:szCs w:val="22"/>
        </w:rPr>
      </w:pPr>
      <w:r>
        <w:rPr>
          <w:rFonts w:asciiTheme="majorHAnsi" w:hAnsiTheme="majorHAnsi"/>
          <w:sz w:val="22"/>
        </w:rPr>
        <w:t xml:space="preserve">The sector's </w:t>
      </w:r>
      <w:r>
        <w:rPr>
          <w:rFonts w:asciiTheme="majorHAnsi" w:hAnsiTheme="majorHAnsi"/>
          <w:b/>
          <w:sz w:val="22"/>
        </w:rPr>
        <w:t>EBITDA</w:t>
      </w:r>
      <w:r>
        <w:t xml:space="preserve"> </w:t>
      </w:r>
      <w:r>
        <w:rPr>
          <w:rFonts w:asciiTheme="majorHAnsi" w:hAnsiTheme="majorHAnsi"/>
          <w:sz w:val="22"/>
        </w:rPr>
        <w:t>amounted to Euro 197.6 million, an increase of 10.2% compared to Euro 179.3 million in the first 9 months of 2024, taking into account the positive contribution of EGEA Energie, consolidated from 1 January 2025.</w:t>
      </w:r>
    </w:p>
    <w:p w14:paraId="11072857" w14:textId="77777777" w:rsidR="00C54ADD" w:rsidRPr="00FA3D33" w:rsidRDefault="00C54ADD" w:rsidP="009E4500">
      <w:pPr>
        <w:autoSpaceDE w:val="0"/>
        <w:autoSpaceDN w:val="0"/>
        <w:adjustRightInd w:val="0"/>
        <w:jc w:val="both"/>
        <w:rPr>
          <w:rFonts w:asciiTheme="majorHAnsi" w:hAnsiTheme="majorHAnsi" w:cstheme="majorHAnsi"/>
          <w:spacing w:val="8"/>
          <w:sz w:val="22"/>
          <w:szCs w:val="22"/>
        </w:rPr>
      </w:pPr>
    </w:p>
    <w:p w14:paraId="101876D3" w14:textId="05799411" w:rsidR="00CB14C9" w:rsidRPr="00FA3D33" w:rsidRDefault="0066645E" w:rsidP="003F1853">
      <w:pPr>
        <w:autoSpaceDE w:val="0"/>
        <w:autoSpaceDN w:val="0"/>
        <w:adjustRightInd w:val="0"/>
        <w:jc w:val="both"/>
        <w:rPr>
          <w:rFonts w:asciiTheme="majorHAnsi" w:hAnsiTheme="majorHAnsi" w:cstheme="majorHAnsi"/>
          <w:sz w:val="22"/>
          <w:szCs w:val="22"/>
          <w:highlight w:val="yellow"/>
        </w:rPr>
      </w:pPr>
      <w:r>
        <w:rPr>
          <w:rFonts w:asciiTheme="majorHAnsi" w:hAnsiTheme="majorHAnsi"/>
          <w:sz w:val="22"/>
        </w:rPr>
        <w:t xml:space="preserve">Directly marketed </w:t>
      </w:r>
      <w:r>
        <w:rPr>
          <w:rFonts w:asciiTheme="majorHAnsi" w:hAnsiTheme="majorHAnsi"/>
          <w:b/>
          <w:sz w:val="22"/>
        </w:rPr>
        <w:t>electricity</w:t>
      </w:r>
      <w:r>
        <w:rPr>
          <w:rFonts w:asciiTheme="majorHAnsi" w:hAnsiTheme="majorHAnsi"/>
          <w:sz w:val="22"/>
        </w:rPr>
        <w:t xml:space="preserve"> in the period amounted to 5,131 GWh, up</w:t>
      </w:r>
      <w:r w:rsidR="00E7564A">
        <w:rPr>
          <w:rFonts w:asciiTheme="majorHAnsi" w:hAnsiTheme="majorHAnsi"/>
          <w:sz w:val="22"/>
        </w:rPr>
        <w:t xml:space="preserve"> </w:t>
      </w:r>
      <w:r w:rsidR="00723A23">
        <w:rPr>
          <w:rFonts w:asciiTheme="majorHAnsi" w:hAnsiTheme="majorHAnsi"/>
          <w:sz w:val="22"/>
        </w:rPr>
        <w:t>(+5.7%), compared to September 2024, supported by the deregulated market (+6.9%) with growth in both the retail and small business segment (+17.6%) and the business segment (+31.0%), counterbalanced by a decline in the wholesale segment (-39.2%). The market for greater protection, on the other hand, declined (-42.5%) mainly as a result of the liberalisation of part of the market.</w:t>
      </w:r>
    </w:p>
    <w:p w14:paraId="4ABE0A0E" w14:textId="77777777" w:rsidR="002F2DD9" w:rsidRPr="00FA3D33" w:rsidRDefault="002F2DD9" w:rsidP="002F2DD9">
      <w:pPr>
        <w:autoSpaceDE w:val="0"/>
        <w:autoSpaceDN w:val="0"/>
        <w:adjustRightInd w:val="0"/>
        <w:jc w:val="both"/>
        <w:rPr>
          <w:rFonts w:asciiTheme="majorHAnsi" w:hAnsiTheme="majorHAnsi" w:cstheme="majorHAnsi"/>
          <w:sz w:val="22"/>
          <w:szCs w:val="22"/>
          <w:highlight w:val="yellow"/>
        </w:rPr>
      </w:pPr>
    </w:p>
    <w:p w14:paraId="753E67AB" w14:textId="438CFDCA" w:rsidR="00517FE5" w:rsidRPr="00FA3D33" w:rsidRDefault="0066645E" w:rsidP="00F82AE7">
      <w:pPr>
        <w:autoSpaceDE w:val="0"/>
        <w:autoSpaceDN w:val="0"/>
        <w:adjustRightInd w:val="0"/>
        <w:jc w:val="both"/>
        <w:rPr>
          <w:rFonts w:asciiTheme="majorHAnsi" w:hAnsiTheme="majorHAnsi" w:cstheme="majorHAnsi"/>
          <w:sz w:val="22"/>
          <w:szCs w:val="22"/>
        </w:rPr>
      </w:pPr>
      <w:r>
        <w:rPr>
          <w:rFonts w:asciiTheme="majorHAnsi" w:hAnsiTheme="majorHAnsi"/>
          <w:sz w:val="22"/>
        </w:rPr>
        <w:t xml:space="preserve">In addition, 1,532 Mmc of </w:t>
      </w:r>
      <w:r>
        <w:rPr>
          <w:rFonts w:asciiTheme="majorHAnsi" w:hAnsiTheme="majorHAnsi"/>
          <w:b/>
          <w:sz w:val="22"/>
        </w:rPr>
        <w:t xml:space="preserve">gas </w:t>
      </w:r>
      <w:r>
        <w:rPr>
          <w:rFonts w:asciiTheme="majorHAnsi" w:hAnsiTheme="majorHAnsi"/>
          <w:sz w:val="22"/>
        </w:rPr>
        <w:t>was purchased, down -9.8% compared to the first nine months of 2024, mainly as a result of less gas being marketed, used for internal purposes and stored by the Group.</w:t>
      </w:r>
    </w:p>
    <w:p w14:paraId="535D88A0" w14:textId="77777777" w:rsidR="00BD4F66" w:rsidRPr="0003068D" w:rsidRDefault="00BD4F66" w:rsidP="00BD4F66">
      <w:pPr>
        <w:autoSpaceDE w:val="0"/>
        <w:autoSpaceDN w:val="0"/>
        <w:adjustRightInd w:val="0"/>
        <w:jc w:val="both"/>
        <w:rPr>
          <w:rFonts w:asciiTheme="majorHAnsi" w:hAnsiTheme="majorHAnsi" w:cstheme="majorHAnsi"/>
          <w:color w:val="EE0000"/>
          <w:sz w:val="22"/>
          <w:szCs w:val="22"/>
        </w:rPr>
      </w:pPr>
    </w:p>
    <w:p w14:paraId="7FF07C40" w14:textId="77777777" w:rsidR="007B2D38" w:rsidRPr="007B2D38" w:rsidRDefault="0066645E" w:rsidP="007B2D38">
      <w:pPr>
        <w:rPr>
          <w:rFonts w:asciiTheme="majorHAnsi" w:hAnsiTheme="majorHAnsi" w:cstheme="majorHAnsi"/>
          <w:sz w:val="22"/>
          <w:szCs w:val="22"/>
        </w:rPr>
      </w:pPr>
      <w:r>
        <w:rPr>
          <w:rFonts w:asciiTheme="majorHAnsi" w:hAnsiTheme="majorHAnsi"/>
          <w:sz w:val="22"/>
        </w:rPr>
        <w:t xml:space="preserve">As of 30 September 2025, </w:t>
      </w:r>
      <w:r>
        <w:rPr>
          <w:rFonts w:asciiTheme="majorHAnsi" w:hAnsiTheme="majorHAnsi"/>
          <w:b/>
          <w:sz w:val="22"/>
        </w:rPr>
        <w:t xml:space="preserve">gross investments </w:t>
      </w:r>
      <w:r>
        <w:rPr>
          <w:rFonts w:asciiTheme="majorHAnsi" w:hAnsiTheme="majorHAnsi"/>
          <w:sz w:val="22"/>
        </w:rPr>
        <w:t>amounted to Euro 65.8 million, an increase of 22.9% compared to Euro 53.6 million in the first nine months of 2024.</w:t>
      </w:r>
    </w:p>
    <w:p w14:paraId="1D2E162B" w14:textId="2680DB19" w:rsidR="00F2006A" w:rsidRPr="007B2D38" w:rsidRDefault="00F2006A" w:rsidP="00F2006A">
      <w:pPr>
        <w:pBdr>
          <w:bottom w:val="single" w:sz="4" w:space="0" w:color="auto"/>
        </w:pBdr>
        <w:autoSpaceDE w:val="0"/>
        <w:autoSpaceDN w:val="0"/>
        <w:adjustRightInd w:val="0"/>
        <w:spacing w:before="240"/>
        <w:jc w:val="both"/>
        <w:rPr>
          <w:rFonts w:asciiTheme="majorHAnsi" w:hAnsiTheme="majorHAnsi" w:cstheme="majorHAnsi"/>
          <w:b/>
          <w:bCs/>
          <w:sz w:val="22"/>
          <w:szCs w:val="22"/>
        </w:rPr>
      </w:pPr>
      <w:r>
        <w:rPr>
          <w:rFonts w:asciiTheme="majorHAnsi" w:hAnsiTheme="majorHAnsi"/>
          <w:b/>
          <w:sz w:val="22"/>
        </w:rPr>
        <w:t>OUTLOOK</w:t>
      </w:r>
    </w:p>
    <w:p w14:paraId="433E8185" w14:textId="77777777" w:rsidR="00444C97" w:rsidRPr="009F4C3B" w:rsidRDefault="00444C97">
      <w:pPr>
        <w:rPr>
          <w:rFonts w:asciiTheme="majorHAnsi" w:hAnsiTheme="majorHAnsi" w:cstheme="majorHAnsi"/>
          <w:b/>
          <w:bCs/>
          <w:sz w:val="22"/>
          <w:szCs w:val="22"/>
        </w:rPr>
      </w:pPr>
    </w:p>
    <w:p w14:paraId="51AD4917" w14:textId="2A855A91" w:rsidR="008742C1" w:rsidRPr="009F4C3B" w:rsidRDefault="008742C1" w:rsidP="008742C1">
      <w:pPr>
        <w:jc w:val="both"/>
        <w:rPr>
          <w:rFonts w:asciiTheme="majorHAnsi" w:hAnsiTheme="majorHAnsi" w:cstheme="majorHAnsi"/>
          <w:sz w:val="22"/>
          <w:szCs w:val="22"/>
        </w:rPr>
      </w:pPr>
      <w:r>
        <w:rPr>
          <w:rFonts w:asciiTheme="majorHAnsi" w:hAnsiTheme="majorHAnsi"/>
          <w:sz w:val="22"/>
        </w:rPr>
        <w:t>In a complex and highly uncertain macroeconomic context, driven by geopolitical tensions, the two main risks potentially affecting the Group's performance are: the evolution of interest rates, linked to macroeconomic dynamics, and the volatility of commodity prices.</w:t>
      </w:r>
    </w:p>
    <w:p w14:paraId="6443856D" w14:textId="3A8E1C93" w:rsidR="008742C1" w:rsidRPr="009F4C3B" w:rsidRDefault="008742C1" w:rsidP="008742C1">
      <w:pPr>
        <w:jc w:val="both"/>
        <w:rPr>
          <w:rFonts w:asciiTheme="majorHAnsi" w:hAnsiTheme="majorHAnsi" w:cstheme="majorHAnsi"/>
          <w:sz w:val="22"/>
          <w:szCs w:val="22"/>
        </w:rPr>
      </w:pPr>
      <w:r>
        <w:rPr>
          <w:rFonts w:asciiTheme="majorHAnsi" w:hAnsiTheme="majorHAnsi"/>
          <w:sz w:val="22"/>
        </w:rPr>
        <w:t>The last quarter of the year will be characterised by the continuation of the investments specified in the Business Plan, primarily focused on improving the efficiency of energy and water distribution networks, developing waste collection activities, and increasing renewable energy generation capacity.</w:t>
      </w:r>
    </w:p>
    <w:p w14:paraId="1A0AF627" w14:textId="1807ED0C" w:rsidR="008742C1" w:rsidRPr="009F4C3B" w:rsidRDefault="008742C1" w:rsidP="008742C1">
      <w:pPr>
        <w:jc w:val="both"/>
        <w:rPr>
          <w:rFonts w:asciiTheme="majorHAnsi" w:hAnsiTheme="majorHAnsi" w:cstheme="majorHAnsi"/>
          <w:sz w:val="22"/>
          <w:szCs w:val="22"/>
        </w:rPr>
      </w:pPr>
      <w:r>
        <w:rPr>
          <w:rFonts w:asciiTheme="majorHAnsi" w:hAnsiTheme="majorHAnsi"/>
          <w:sz w:val="22"/>
        </w:rPr>
        <w:t>In the coming months, we also expect an increase in tariff revenues related to regulated businesses, supported by investments, and a recovery in the profitability of waste treatment plants.</w:t>
      </w:r>
    </w:p>
    <w:p w14:paraId="25EF69F4" w14:textId="5401C03B" w:rsidR="00444C97" w:rsidRDefault="008742C1" w:rsidP="008742C1">
      <w:pPr>
        <w:jc w:val="both"/>
        <w:rPr>
          <w:rFonts w:asciiTheme="majorHAnsi" w:hAnsiTheme="majorHAnsi" w:cstheme="majorHAnsi"/>
          <w:sz w:val="22"/>
          <w:szCs w:val="22"/>
        </w:rPr>
      </w:pPr>
      <w:r>
        <w:rPr>
          <w:rFonts w:asciiTheme="majorHAnsi" w:hAnsiTheme="majorHAnsi"/>
          <w:sz w:val="22"/>
        </w:rPr>
        <w:t>Expectations for the energy supply chain are for lower hydroelectric production compared to the extraordinary volumes recorded last year, partly offset by an increase in thermoelectric production. The margins of the Market BU are expected to be stable, even in a very challenging competitive environment, to which the Group is responding with a strategy of high-value customer retention.</w:t>
      </w:r>
    </w:p>
    <w:p w14:paraId="3A455E9A" w14:textId="14978ED3" w:rsidR="00AF3E17" w:rsidRPr="00BB2789" w:rsidRDefault="00AF3E17" w:rsidP="00AF3E17">
      <w:pPr>
        <w:pBdr>
          <w:bottom w:val="single" w:sz="4" w:space="1" w:color="auto"/>
        </w:pBdr>
        <w:autoSpaceDE w:val="0"/>
        <w:autoSpaceDN w:val="0"/>
        <w:adjustRightInd w:val="0"/>
        <w:spacing w:before="240"/>
        <w:jc w:val="both"/>
        <w:rPr>
          <w:rFonts w:asciiTheme="majorHAnsi" w:hAnsiTheme="majorHAnsi" w:cstheme="majorHAnsi"/>
          <w:b/>
          <w:bCs/>
          <w:sz w:val="22"/>
          <w:szCs w:val="22"/>
        </w:rPr>
      </w:pPr>
      <w:r>
        <w:rPr>
          <w:rFonts w:asciiTheme="majorHAnsi" w:hAnsiTheme="majorHAnsi"/>
          <w:b/>
          <w:sz w:val="22"/>
        </w:rPr>
        <w:t>APPOINTMENT OF THE LEAD INDEPENDENT DIRECTOR</w:t>
      </w:r>
    </w:p>
    <w:p w14:paraId="124B11B1" w14:textId="77777777" w:rsidR="00AF3E17" w:rsidRPr="00BB2789" w:rsidRDefault="00AF3E17" w:rsidP="00AF3E17">
      <w:pPr>
        <w:jc w:val="both"/>
        <w:rPr>
          <w:rFonts w:asciiTheme="majorHAnsi" w:hAnsiTheme="majorHAnsi" w:cstheme="majorHAnsi"/>
          <w:sz w:val="22"/>
          <w:szCs w:val="22"/>
        </w:rPr>
      </w:pPr>
    </w:p>
    <w:p w14:paraId="1131F2FD" w14:textId="1425130A" w:rsidR="00CF50B3" w:rsidRPr="00CF50B3" w:rsidRDefault="000D6A42" w:rsidP="00CF50B3">
      <w:pPr>
        <w:jc w:val="both"/>
        <w:rPr>
          <w:rFonts w:asciiTheme="majorHAnsi" w:hAnsiTheme="majorHAnsi" w:cstheme="majorHAnsi"/>
          <w:sz w:val="22"/>
          <w:szCs w:val="22"/>
        </w:rPr>
      </w:pPr>
      <w:r w:rsidRPr="000D6A42">
        <w:rPr>
          <w:rFonts w:asciiTheme="majorHAnsi" w:hAnsiTheme="majorHAnsi"/>
          <w:sz w:val="22"/>
        </w:rPr>
        <w:t xml:space="preserve">We hereby announce that the Board of Directors of IREN S.p.A. (“IREN” or the “Company”) </w:t>
      </w:r>
      <w:r w:rsidR="00CF50B3">
        <w:rPr>
          <w:rFonts w:asciiTheme="majorHAnsi" w:hAnsiTheme="majorHAnsi"/>
          <w:sz w:val="22"/>
        </w:rPr>
        <w:t>appointed Director Prof. Giuliana Mattiazzo (who meets the independence and professional requirements for the role) as Lead Independent Director of the Company, in accordance with the provisions of the Corporate Governance Code for Listed Companies.</w:t>
      </w:r>
    </w:p>
    <w:p w14:paraId="44439207" w14:textId="77777777" w:rsidR="00CF50B3" w:rsidRPr="00CF50B3" w:rsidRDefault="00CF50B3" w:rsidP="00CF50B3">
      <w:pPr>
        <w:jc w:val="both"/>
        <w:rPr>
          <w:rFonts w:asciiTheme="majorHAnsi" w:hAnsiTheme="majorHAnsi" w:cstheme="majorHAnsi"/>
          <w:sz w:val="22"/>
          <w:szCs w:val="22"/>
        </w:rPr>
      </w:pPr>
      <w:r>
        <w:rPr>
          <w:rFonts w:asciiTheme="majorHAnsi" w:hAnsiTheme="majorHAnsi"/>
          <w:sz w:val="22"/>
        </w:rPr>
        <w:t>The Lead Independent Director will represent a point of reference and coordination of the requests and contributions of the Independent Directors within the Board of Directors.</w:t>
      </w:r>
    </w:p>
    <w:p w14:paraId="5A07E5B7" w14:textId="77777777" w:rsidR="000B4243" w:rsidRDefault="000B4243">
      <w:pPr>
        <w:rPr>
          <w:rFonts w:asciiTheme="majorHAnsi" w:hAnsiTheme="majorHAnsi"/>
          <w:b/>
          <w:sz w:val="22"/>
        </w:rPr>
      </w:pPr>
      <w:r>
        <w:rPr>
          <w:rFonts w:asciiTheme="majorHAnsi" w:hAnsiTheme="majorHAnsi"/>
          <w:b/>
          <w:sz w:val="22"/>
        </w:rPr>
        <w:br w:type="page"/>
      </w:r>
    </w:p>
    <w:p w14:paraId="560D7F11" w14:textId="445A5F54" w:rsidR="0066645E" w:rsidRPr="00BB2789" w:rsidRDefault="0066645E" w:rsidP="00EE0A90">
      <w:pPr>
        <w:pBdr>
          <w:bottom w:val="single" w:sz="4" w:space="1" w:color="auto"/>
        </w:pBdr>
        <w:autoSpaceDE w:val="0"/>
        <w:autoSpaceDN w:val="0"/>
        <w:adjustRightInd w:val="0"/>
        <w:spacing w:before="240"/>
        <w:jc w:val="both"/>
        <w:rPr>
          <w:rFonts w:asciiTheme="majorHAnsi" w:hAnsiTheme="majorHAnsi" w:cstheme="majorHAnsi"/>
          <w:b/>
          <w:bCs/>
          <w:sz w:val="22"/>
          <w:szCs w:val="22"/>
        </w:rPr>
      </w:pPr>
      <w:r>
        <w:rPr>
          <w:rFonts w:asciiTheme="majorHAnsi" w:hAnsiTheme="majorHAnsi"/>
          <w:b/>
          <w:sz w:val="22"/>
        </w:rPr>
        <w:lastRenderedPageBreak/>
        <w:t>CONFERENCE CALL</w:t>
      </w:r>
    </w:p>
    <w:p w14:paraId="560D7F12" w14:textId="77777777" w:rsidR="00BD37AE" w:rsidRPr="00BB2789" w:rsidRDefault="00BD37AE" w:rsidP="00A95DAF">
      <w:pPr>
        <w:jc w:val="both"/>
        <w:rPr>
          <w:rFonts w:asciiTheme="majorHAnsi" w:hAnsiTheme="majorHAnsi" w:cstheme="majorHAnsi"/>
          <w:sz w:val="22"/>
          <w:szCs w:val="22"/>
        </w:rPr>
      </w:pPr>
    </w:p>
    <w:p w14:paraId="73896E24" w14:textId="4B851ABE" w:rsidR="00EC502A" w:rsidRDefault="0066645E" w:rsidP="00847F20">
      <w:pPr>
        <w:jc w:val="both"/>
        <w:rPr>
          <w:rFonts w:asciiTheme="majorHAnsi" w:hAnsiTheme="majorHAnsi" w:cstheme="majorHAnsi"/>
          <w:sz w:val="22"/>
          <w:szCs w:val="22"/>
        </w:rPr>
      </w:pPr>
      <w:r>
        <w:rPr>
          <w:rFonts w:asciiTheme="majorHAnsi" w:hAnsiTheme="majorHAnsi"/>
          <w:sz w:val="22"/>
        </w:rPr>
        <w:t>The results as of 30 September 2025 will be presented today, 13 November, at 4 p.m. via webcasting in listen-only mode on the www.gruppoiren.it website, Investors section.</w:t>
      </w:r>
    </w:p>
    <w:p w14:paraId="13C204EC" w14:textId="77777777" w:rsidR="00847F20" w:rsidRPr="0003068D" w:rsidRDefault="00847F20" w:rsidP="00847F20">
      <w:pPr>
        <w:jc w:val="both"/>
        <w:rPr>
          <w:rFonts w:asciiTheme="majorHAnsi" w:hAnsiTheme="majorHAnsi" w:cstheme="majorHAnsi"/>
          <w:b/>
          <w:bCs/>
          <w:color w:val="EE0000"/>
          <w:sz w:val="22"/>
          <w:szCs w:val="22"/>
        </w:rPr>
      </w:pPr>
    </w:p>
    <w:p w14:paraId="560D7F15" w14:textId="298F24F4" w:rsidR="005F3EDF" w:rsidRPr="00D41EA1" w:rsidRDefault="005F3EDF" w:rsidP="005F3EDF">
      <w:pPr>
        <w:pBdr>
          <w:bottom w:val="single" w:sz="4" w:space="1" w:color="auto"/>
        </w:pBdr>
        <w:autoSpaceDE w:val="0"/>
        <w:autoSpaceDN w:val="0"/>
        <w:adjustRightInd w:val="0"/>
        <w:jc w:val="both"/>
        <w:rPr>
          <w:rFonts w:asciiTheme="majorHAnsi" w:hAnsiTheme="majorHAnsi" w:cstheme="majorHAnsi"/>
          <w:b/>
          <w:bCs/>
          <w:sz w:val="22"/>
          <w:szCs w:val="22"/>
        </w:rPr>
      </w:pPr>
      <w:r>
        <w:rPr>
          <w:rFonts w:asciiTheme="majorHAnsi" w:hAnsiTheme="majorHAnsi"/>
          <w:b/>
          <w:sz w:val="22"/>
        </w:rPr>
        <w:t>ALTERNATIVE PERFORMANCE INDICATORS</w:t>
      </w:r>
    </w:p>
    <w:p w14:paraId="560D7F16" w14:textId="77777777" w:rsidR="005F3EDF" w:rsidRPr="00D41EA1" w:rsidRDefault="005F3EDF" w:rsidP="005F3EDF">
      <w:pPr>
        <w:jc w:val="both"/>
        <w:rPr>
          <w:rFonts w:asciiTheme="majorHAnsi" w:hAnsiTheme="majorHAnsi" w:cstheme="majorHAnsi"/>
          <w:sz w:val="22"/>
          <w:szCs w:val="22"/>
        </w:rPr>
      </w:pPr>
    </w:p>
    <w:p w14:paraId="560D7F17" w14:textId="3740C007" w:rsidR="005F3EDF" w:rsidRPr="00D41EA1" w:rsidRDefault="005F3EDF" w:rsidP="005F3EDF">
      <w:pPr>
        <w:jc w:val="both"/>
        <w:rPr>
          <w:rFonts w:asciiTheme="majorHAnsi" w:hAnsiTheme="majorHAnsi" w:cstheme="majorHAnsi"/>
          <w:sz w:val="22"/>
          <w:szCs w:val="22"/>
        </w:rPr>
      </w:pPr>
      <w:r>
        <w:rPr>
          <w:rFonts w:asciiTheme="majorHAnsi" w:hAnsiTheme="majorHAnsi"/>
          <w:sz w:val="22"/>
        </w:rPr>
        <w:t>This press release uses some alternative performance indicators (APM) that are not included in the international accounting principles adopted by the European Union (IFRS-EU) to allow for a better assessment of the performance of the IREN Group's operating and financial performance. In accordance with the recommendations of the Guidelines published in October 2015 by ESMA, the meaning, content and basis of calculation of these indicators are set out below:</w:t>
      </w:r>
    </w:p>
    <w:p w14:paraId="751B5EAB" w14:textId="77777777" w:rsidR="00C64AF2" w:rsidRPr="00D41EA1" w:rsidRDefault="00C64AF2" w:rsidP="00C64AF2">
      <w:pPr>
        <w:jc w:val="both"/>
        <w:rPr>
          <w:rFonts w:asciiTheme="majorHAnsi" w:hAnsiTheme="majorHAnsi" w:cstheme="majorHAnsi"/>
          <w:sz w:val="22"/>
          <w:szCs w:val="22"/>
        </w:rPr>
      </w:pPr>
    </w:p>
    <w:p w14:paraId="458D2328" w14:textId="0183D9D6" w:rsidR="00AD2F76"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Net invested capital (NIC)</w:t>
      </w:r>
      <w:r>
        <w:rPr>
          <w:rFonts w:asciiTheme="majorHAnsi" w:hAnsiTheme="majorHAnsi"/>
          <w:sz w:val="22"/>
        </w:rPr>
        <w:t>: determined by the algebraic sum of non-current assets, other non-current assets (liabilities), net working capital, deferred tax assets (liabilities), provisions for risks, and employee benefits and assets (liabilities) held for sale. This APM is used by the Group in the context of documents both internal to the Group and external and is a useful measure for the purpose of measuring total net assets, both current and non-current, also through comparison between the period with which the report is concerned and previous periods or financial years. This indicator also makes it possible to carry out the analyses of operating trends and to measure performance in terms of operating efficiency over time.</w:t>
      </w:r>
    </w:p>
    <w:p w14:paraId="13C106BF" w14:textId="21DB9F88" w:rsidR="00AD2F76"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 xml:space="preserve">Net financial debt: </w:t>
      </w:r>
      <w:r>
        <w:rPr>
          <w:rFonts w:asciiTheme="majorHAnsi" w:hAnsiTheme="majorHAnsi"/>
          <w:sz w:val="22"/>
        </w:rPr>
        <w:t>calculated as the sum of non-current financial liabilities net of non-current financial assets and current financial liabilities net of current financial assets, excluding the fair value of commodity derivatives, and cash and cash equivalents. This APM is used by the Group in both internal and external documents and represents a useful tool to assess the Group's financial structure, including by comparing the reporting period with those related to the previous periods or fiscal years.</w:t>
      </w:r>
    </w:p>
    <w:p w14:paraId="623DD0A2" w14:textId="5F5A2F76" w:rsidR="00AD2F76"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Fixed Assets</w:t>
      </w:r>
      <w:r>
        <w:rPr>
          <w:rFonts w:asciiTheme="majorHAnsi" w:hAnsiTheme="majorHAnsi"/>
          <w:sz w:val="22"/>
        </w:rPr>
        <w:t xml:space="preserve">: calculated as the sum of property, plant and equipment, investment property, intangible assets with finite life, goodwill, investments accounted for using the equity method and other investments. </w:t>
      </w:r>
    </w:p>
    <w:p w14:paraId="76D7A1EB" w14:textId="54DDB407" w:rsidR="00AD2F76"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Other non-current assets (liabilities)</w:t>
      </w:r>
      <w:r>
        <w:rPr>
          <w:rFonts w:asciiTheme="majorHAnsi" w:hAnsiTheme="majorHAnsi"/>
          <w:sz w:val="22"/>
        </w:rPr>
        <w:t xml:space="preserve">: calculated as the sum of other non-current assets net of sundry payables and other non-current liabilities and the non-current portion of the fair value of commodity derivatives. </w:t>
      </w:r>
    </w:p>
    <w:p w14:paraId="233614AD" w14:textId="3A488769"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Net Working Capital (NWC)</w:t>
      </w:r>
      <w:r>
        <w:rPr>
          <w:rFonts w:asciiTheme="majorHAnsi" w:hAnsiTheme="majorHAnsi"/>
          <w:sz w:val="22"/>
        </w:rPr>
        <w:t>: calculated as the algebraic sum of current and non-current assets and liabilities from contracts with customers, current and non-current trade receivables, inventories, current tax assets and liabilities, sundry receivables and other current assets, trade payables and sundry payables and other current liabilities and the current portion of the fair value of commodity derivatives. This APM is used by the Group in the context of both internal and external documents and represents a useful tool to assess the Group's operational efficiency, including by comparing the reporting period with those related to the previous periods or years.</w:t>
      </w:r>
    </w:p>
    <w:p w14:paraId="0EAEC97C" w14:textId="77777777"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 xml:space="preserve">Gross operating income (EBITDA): </w:t>
      </w:r>
      <w:r>
        <w:rPr>
          <w:rFonts w:asciiTheme="majorHAnsi" w:hAnsiTheme="majorHAnsi"/>
          <w:sz w:val="22"/>
        </w:rPr>
        <w:t xml:space="preserve">calculated as the sum of income before tax, income from investments accounted for using the equity method, adjustments to the value of investments, financial income and expense, and amortisation, depreciation, provisions and write-downs. EBITDA is explicitly shown as a subtotal in the financial statements. This APM is used by the Group in the context of documents both internal to the Group and external and is a useful tool </w:t>
      </w:r>
      <w:r>
        <w:rPr>
          <w:rFonts w:asciiTheme="majorHAnsi" w:hAnsiTheme="majorHAnsi"/>
          <w:sz w:val="22"/>
        </w:rPr>
        <w:lastRenderedPageBreak/>
        <w:t>for assessing the Group's operating performance (both as a whole and at the individual Business Units level), including by comparing the operating results for the reporting period with those for previous periods or fiscal years. This indicator also makes it possible to carry out the analyses of operating trends and to measure performance in terms of operating efficiency over time.</w:t>
      </w:r>
    </w:p>
    <w:p w14:paraId="0A5997E3" w14:textId="77777777"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Operating income (EBIT):</w:t>
      </w:r>
      <w:r>
        <w:rPr>
          <w:rFonts w:asciiTheme="majorHAnsi" w:hAnsiTheme="majorHAnsi"/>
          <w:sz w:val="22"/>
        </w:rPr>
        <w:t xml:space="preserve"> calculated as the sum of income before tax, income from investments accounted for using the equity method, adjustments to the value of investments and finance income and costs. Operating Income is explicitly shown as a subtotal in the financial statements.</w:t>
      </w:r>
    </w:p>
    <w:p w14:paraId="2680CD3B" w14:textId="77777777"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sz w:val="22"/>
        </w:rPr>
        <w:t>Investments: represents the sum of investments in property, plant and equipment, intangible assets and financial assets (equity investments), presented gross of capital grants. This APM is used by the Group in the context of internal documents of the Group and external documents, and measures the financial resources absorbed in purchases of consumer durable goods in the period.</w:t>
      </w:r>
    </w:p>
    <w:p w14:paraId="2E4B3D27" w14:textId="77777777"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Cash Flow from Investing Activities</w:t>
      </w:r>
      <w:r>
        <w:rPr>
          <w:rFonts w:asciiTheme="majorHAnsi" w:hAnsiTheme="majorHAnsi"/>
          <w:sz w:val="22"/>
        </w:rPr>
        <w:t>: determined by the algebraic sum of cash flows related to capital expenditures, realisation of investments, changes in assets held for sale and dividends collected, as well as the effect on Net Financial Debt resulting from the acquisition of subsidiaries and minority interests, as indicated in the Statement of Changes in Net Financial Debt.</w:t>
      </w:r>
    </w:p>
    <w:p w14:paraId="7D1DCBDD" w14:textId="77777777"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Free Cash Flow</w:t>
      </w:r>
      <w:r>
        <w:rPr>
          <w:rFonts w:asciiTheme="majorHAnsi" w:hAnsiTheme="majorHAnsi"/>
          <w:sz w:val="22"/>
        </w:rPr>
        <w:t>: determined by the sum of net cash provided by operating activities and cash flow from investing activities as shown in the Statement of Changes in Net Financial Debt.</w:t>
      </w:r>
    </w:p>
    <w:p w14:paraId="5B216DBC" w14:textId="2816467A" w:rsidR="00676050" w:rsidRPr="00D41EA1" w:rsidRDefault="00B83B35" w:rsidP="00B83B35">
      <w:pPr>
        <w:pStyle w:val="Paragrafoelenco"/>
        <w:numPr>
          <w:ilvl w:val="0"/>
          <w:numId w:val="27"/>
        </w:numPr>
        <w:jc w:val="both"/>
        <w:rPr>
          <w:rFonts w:asciiTheme="majorHAnsi" w:hAnsiTheme="majorHAnsi" w:cstheme="majorHAnsi"/>
          <w:sz w:val="22"/>
          <w:szCs w:val="22"/>
        </w:rPr>
      </w:pPr>
      <w:r>
        <w:rPr>
          <w:rFonts w:asciiTheme="majorHAnsi" w:hAnsiTheme="majorHAnsi"/>
          <w:b/>
          <w:sz w:val="22"/>
        </w:rPr>
        <w:t>Gross operating profit or loss (EBITDA) margin</w:t>
      </w:r>
      <w:r>
        <w:rPr>
          <w:rFonts w:asciiTheme="majorHAnsi" w:hAnsiTheme="majorHAnsi"/>
          <w:sz w:val="22"/>
        </w:rPr>
        <w:t>: calculated by comparing the adjusted EBITDA to the revenue from sales and services. This APM is used by the Group in both internal and external documents and is a useful tool to assess the Group's operating performance (both as a whole and for individual Business Units), also by comparison with previous periods or years.</w:t>
      </w:r>
    </w:p>
    <w:p w14:paraId="2C303FB8" w14:textId="6C5109A7" w:rsidR="00B83B35" w:rsidRPr="00D41EA1" w:rsidRDefault="00B83B35" w:rsidP="00822013">
      <w:pPr>
        <w:pStyle w:val="Paragrafoelenco"/>
        <w:numPr>
          <w:ilvl w:val="0"/>
          <w:numId w:val="27"/>
        </w:numPr>
        <w:jc w:val="both"/>
        <w:rPr>
          <w:rFonts w:asciiTheme="majorHAnsi" w:hAnsiTheme="majorHAnsi" w:cstheme="majorHAnsi"/>
          <w:sz w:val="22"/>
          <w:szCs w:val="22"/>
        </w:rPr>
      </w:pPr>
      <w:r>
        <w:rPr>
          <w:rFonts w:asciiTheme="majorHAnsi" w:hAnsiTheme="majorHAnsi"/>
          <w:b/>
          <w:sz w:val="22"/>
        </w:rPr>
        <w:t>Net financial indebtednes</w:t>
      </w:r>
      <w:r>
        <w:rPr>
          <w:rFonts w:asciiTheme="majorHAnsi" w:hAnsiTheme="majorHAnsi"/>
          <w:b/>
          <w:bCs/>
          <w:sz w:val="22"/>
        </w:rPr>
        <w:t>s:</w:t>
      </w:r>
      <w:r>
        <w:rPr>
          <w:rFonts w:asciiTheme="majorHAnsi" w:hAnsiTheme="majorHAnsi"/>
          <w:sz w:val="22"/>
        </w:rPr>
        <w:t xml:space="preserve"> determined as the ratio between net financial indebtedness and net equity including non-controlling interests. This APM is used by the Group in the context of documents both internal to the Group and external and is a useful instrument for assessing the financial structure in terms of relative proportion of financing sources between third-party funds and own funds.</w:t>
      </w:r>
    </w:p>
    <w:p w14:paraId="2981AFF7" w14:textId="77777777" w:rsidR="00676050" w:rsidRPr="00D41EA1" w:rsidRDefault="00676050" w:rsidP="00B83B35">
      <w:pPr>
        <w:jc w:val="both"/>
        <w:rPr>
          <w:rFonts w:asciiTheme="majorHAnsi" w:hAnsiTheme="majorHAnsi" w:cstheme="majorHAnsi"/>
          <w:sz w:val="22"/>
          <w:szCs w:val="22"/>
        </w:rPr>
      </w:pPr>
    </w:p>
    <w:p w14:paraId="560D7F1E" w14:textId="70950C8D" w:rsidR="001B6B7D" w:rsidRPr="00D41EA1" w:rsidRDefault="006F425E" w:rsidP="001B6B7D">
      <w:pPr>
        <w:tabs>
          <w:tab w:val="left" w:pos="426"/>
        </w:tabs>
        <w:jc w:val="both"/>
        <w:rPr>
          <w:rFonts w:asciiTheme="majorHAnsi" w:hAnsiTheme="majorHAnsi" w:cstheme="majorHAnsi"/>
          <w:i/>
          <w:sz w:val="22"/>
          <w:szCs w:val="22"/>
        </w:rPr>
      </w:pPr>
      <w:r>
        <w:rPr>
          <w:rFonts w:asciiTheme="majorHAnsi" w:hAnsiTheme="majorHAnsi"/>
          <w:i/>
          <w:sz w:val="22"/>
        </w:rPr>
        <w:t xml:space="preserve">As required by Article 154 bis, paragraph 2, of the Consolidated Finance Act, Giovanni Gazza, in his capacity of Corporate Accounting Documents Officer, states that the accounting information provided in this press release is consistent with the information in the supporting documents and in the Company's accounting books and other accounting records. The financial report at 30 September 2025 will be filed according to the law at the Company's registered office (Via Nubi di </w:t>
      </w:r>
      <w:proofErr w:type="spellStart"/>
      <w:r>
        <w:rPr>
          <w:rFonts w:asciiTheme="majorHAnsi" w:hAnsiTheme="majorHAnsi"/>
          <w:i/>
          <w:sz w:val="22"/>
        </w:rPr>
        <w:t>Magellano</w:t>
      </w:r>
      <w:proofErr w:type="spellEnd"/>
      <w:r>
        <w:rPr>
          <w:rFonts w:asciiTheme="majorHAnsi" w:hAnsiTheme="majorHAnsi"/>
          <w:i/>
          <w:sz w:val="22"/>
        </w:rPr>
        <w:t xml:space="preserve">, 30 - Reggio Emilia) at Borsa </w:t>
      </w:r>
      <w:proofErr w:type="spellStart"/>
      <w:r>
        <w:rPr>
          <w:rFonts w:asciiTheme="majorHAnsi" w:hAnsiTheme="majorHAnsi"/>
          <w:i/>
          <w:sz w:val="22"/>
        </w:rPr>
        <w:t>Italiana</w:t>
      </w:r>
      <w:proofErr w:type="spellEnd"/>
      <w:r>
        <w:rPr>
          <w:rFonts w:asciiTheme="majorHAnsi" w:hAnsiTheme="majorHAnsi"/>
          <w:i/>
          <w:sz w:val="22"/>
        </w:rPr>
        <w:t xml:space="preserve"> S.p.A. and shall be available to anyone who requests it and will also be available on the Company's website at www.gruppoiren.it. </w:t>
      </w:r>
    </w:p>
    <w:p w14:paraId="70987D8F" w14:textId="679869AA" w:rsidR="00156D85" w:rsidRPr="00D41EA1" w:rsidRDefault="00156D85" w:rsidP="001B6B7D">
      <w:pPr>
        <w:tabs>
          <w:tab w:val="left" w:pos="426"/>
        </w:tabs>
        <w:jc w:val="both"/>
        <w:rPr>
          <w:rFonts w:asciiTheme="majorHAnsi" w:hAnsiTheme="majorHAnsi" w:cstheme="majorHAnsi"/>
          <w:i/>
          <w:sz w:val="22"/>
          <w:szCs w:val="22"/>
        </w:rPr>
      </w:pPr>
      <w:r>
        <w:rPr>
          <w:rFonts w:asciiTheme="majorHAnsi" w:hAnsiTheme="majorHAnsi"/>
          <w:i/>
          <w:sz w:val="22"/>
        </w:rPr>
        <w:t>The financial statements of IREN Group are provided below.</w:t>
      </w:r>
    </w:p>
    <w:p w14:paraId="2AC7FD96" w14:textId="77777777" w:rsidR="00B70966" w:rsidRPr="00D41EA1" w:rsidRDefault="00B70966" w:rsidP="0054302B">
      <w:pPr>
        <w:tabs>
          <w:tab w:val="left" w:pos="426"/>
        </w:tabs>
        <w:jc w:val="both"/>
        <w:rPr>
          <w:rFonts w:asciiTheme="majorHAnsi" w:eastAsia="Calibri" w:hAnsiTheme="majorHAnsi" w:cstheme="majorHAnsi"/>
          <w:b/>
          <w:sz w:val="22"/>
          <w:szCs w:val="22"/>
          <w:highlight w:val="yellow"/>
          <w:lang w:eastAsia="en-US"/>
        </w:rPr>
      </w:pPr>
    </w:p>
    <w:p w14:paraId="6889D615" w14:textId="77777777" w:rsidR="00AB45F0" w:rsidRPr="00D41EA1" w:rsidRDefault="00AB45F0">
      <w:pPr>
        <w:rPr>
          <w:rFonts w:asciiTheme="majorHAnsi" w:eastAsia="Calibri" w:hAnsiTheme="majorHAnsi" w:cstheme="majorHAnsi"/>
          <w:b/>
          <w:sz w:val="22"/>
          <w:szCs w:val="22"/>
        </w:rPr>
      </w:pPr>
      <w:r>
        <w:br w:type="page"/>
      </w:r>
    </w:p>
    <w:p w14:paraId="24263A51" w14:textId="768507D1" w:rsidR="0054302B" w:rsidRPr="00451A32" w:rsidRDefault="00603CF3" w:rsidP="0054302B">
      <w:pPr>
        <w:tabs>
          <w:tab w:val="left" w:pos="426"/>
        </w:tabs>
        <w:jc w:val="both"/>
        <w:rPr>
          <w:rFonts w:asciiTheme="majorHAnsi" w:eastAsia="Calibri" w:hAnsiTheme="majorHAnsi" w:cstheme="majorHAnsi"/>
          <w:b/>
          <w:sz w:val="22"/>
          <w:szCs w:val="22"/>
        </w:rPr>
      </w:pPr>
      <w:r>
        <w:rPr>
          <w:rFonts w:asciiTheme="majorHAnsi" w:hAnsiTheme="majorHAnsi"/>
          <w:b/>
          <w:sz w:val="22"/>
        </w:rPr>
        <w:lastRenderedPageBreak/>
        <w:t>PROFIT AND LOSS ACCOUNT</w:t>
      </w:r>
    </w:p>
    <w:tbl>
      <w:tblPr>
        <w:tblW w:w="5000" w:type="pct"/>
        <w:jc w:val="center"/>
        <w:tblCellMar>
          <w:left w:w="70" w:type="dxa"/>
          <w:right w:w="70" w:type="dxa"/>
        </w:tblCellMar>
        <w:tblLook w:val="04A0" w:firstRow="1" w:lastRow="0" w:firstColumn="1" w:lastColumn="0" w:noHBand="0" w:noVBand="1"/>
      </w:tblPr>
      <w:tblGrid>
        <w:gridCol w:w="5599"/>
        <w:gridCol w:w="1335"/>
        <w:gridCol w:w="1335"/>
        <w:gridCol w:w="745"/>
      </w:tblGrid>
      <w:tr w:rsidR="001461ED" w:rsidRPr="00F77CCF" w14:paraId="60622BCD" w14:textId="77777777" w:rsidTr="00D40378">
        <w:trPr>
          <w:trHeight w:val="255"/>
          <w:jc w:val="center"/>
        </w:trPr>
        <w:tc>
          <w:tcPr>
            <w:tcW w:w="3121" w:type="pct"/>
            <w:tcBorders>
              <w:top w:val="nil"/>
              <w:left w:val="nil"/>
              <w:bottom w:val="nil"/>
              <w:right w:val="nil"/>
            </w:tcBorders>
            <w:vAlign w:val="center"/>
            <w:hideMark/>
          </w:tcPr>
          <w:p w14:paraId="107322F7" w14:textId="77777777" w:rsidR="001461ED" w:rsidRPr="00F77CCF" w:rsidRDefault="001461ED" w:rsidP="00D40378"/>
        </w:tc>
        <w:tc>
          <w:tcPr>
            <w:tcW w:w="756" w:type="pct"/>
            <w:tcBorders>
              <w:top w:val="nil"/>
              <w:left w:val="nil"/>
              <w:bottom w:val="nil"/>
              <w:right w:val="nil"/>
            </w:tcBorders>
            <w:noWrap/>
            <w:vAlign w:val="center"/>
            <w:hideMark/>
          </w:tcPr>
          <w:p w14:paraId="2C1119E6" w14:textId="77777777" w:rsidR="001461ED" w:rsidRPr="00F77CCF" w:rsidRDefault="001461ED" w:rsidP="00D40378"/>
        </w:tc>
        <w:tc>
          <w:tcPr>
            <w:tcW w:w="1123" w:type="pct"/>
            <w:gridSpan w:val="2"/>
            <w:tcBorders>
              <w:top w:val="nil"/>
              <w:left w:val="nil"/>
              <w:bottom w:val="nil"/>
              <w:right w:val="nil"/>
            </w:tcBorders>
            <w:noWrap/>
            <w:vAlign w:val="center"/>
            <w:hideMark/>
          </w:tcPr>
          <w:p w14:paraId="271B60ED" w14:textId="77777777" w:rsidR="001461ED" w:rsidRPr="00F77CCF" w:rsidRDefault="001461ED" w:rsidP="00D40378">
            <w:pPr>
              <w:jc w:val="right"/>
              <w:rPr>
                <w:rFonts w:ascii="Roboto Light" w:hAnsi="Roboto Light" w:cs="Arial"/>
                <w:sz w:val="16"/>
                <w:szCs w:val="16"/>
              </w:rPr>
            </w:pPr>
            <w:r>
              <w:rPr>
                <w:rFonts w:ascii="Roboto Light" w:hAnsi="Roboto Light"/>
                <w:sz w:val="16"/>
              </w:rPr>
              <w:t>thousand euros</w:t>
            </w:r>
          </w:p>
        </w:tc>
      </w:tr>
      <w:tr w:rsidR="001461ED" w:rsidRPr="00F77CCF" w14:paraId="56404CD5" w14:textId="77777777" w:rsidTr="00D40378">
        <w:trPr>
          <w:trHeight w:val="900"/>
          <w:jc w:val="center"/>
        </w:trPr>
        <w:tc>
          <w:tcPr>
            <w:tcW w:w="3121" w:type="pct"/>
            <w:tcBorders>
              <w:top w:val="nil"/>
              <w:left w:val="nil"/>
              <w:bottom w:val="single" w:sz="4" w:space="0" w:color="auto"/>
              <w:right w:val="nil"/>
            </w:tcBorders>
            <w:vAlign w:val="center"/>
            <w:hideMark/>
          </w:tcPr>
          <w:p w14:paraId="31375128" w14:textId="77777777" w:rsidR="001461ED" w:rsidRPr="00F77CCF" w:rsidRDefault="001461ED" w:rsidP="00D40378">
            <w:pPr>
              <w:rPr>
                <w:rFonts w:ascii="Roboto Light" w:hAnsi="Roboto Light" w:cs="Arial"/>
                <w:sz w:val="18"/>
                <w:szCs w:val="18"/>
              </w:rPr>
            </w:pPr>
            <w:r>
              <w:rPr>
                <w:rFonts w:ascii="Roboto Light" w:hAnsi="Roboto Light"/>
                <w:sz w:val="18"/>
              </w:rPr>
              <w:t> </w:t>
            </w:r>
          </w:p>
        </w:tc>
        <w:tc>
          <w:tcPr>
            <w:tcW w:w="756" w:type="pct"/>
            <w:tcBorders>
              <w:top w:val="nil"/>
              <w:left w:val="nil"/>
              <w:bottom w:val="single" w:sz="4" w:space="0" w:color="auto"/>
              <w:right w:val="nil"/>
            </w:tcBorders>
            <w:shd w:val="clear" w:color="000000" w:fill="EEECE1"/>
            <w:vAlign w:val="center"/>
            <w:hideMark/>
          </w:tcPr>
          <w:p w14:paraId="323144C6" w14:textId="77777777" w:rsidR="001461ED" w:rsidRPr="00F77CCF" w:rsidRDefault="001461ED" w:rsidP="00D40378">
            <w:pPr>
              <w:jc w:val="center"/>
              <w:rPr>
                <w:rFonts w:ascii="Roboto Light" w:hAnsi="Roboto Light" w:cs="Arial"/>
                <w:b/>
                <w:bCs/>
                <w:sz w:val="18"/>
                <w:szCs w:val="18"/>
              </w:rPr>
            </w:pPr>
            <w:r>
              <w:rPr>
                <w:rFonts w:ascii="Roboto Light" w:hAnsi="Roboto Light"/>
                <w:b/>
                <w:sz w:val="18"/>
              </w:rPr>
              <w:t>First 9 months 2025</w:t>
            </w:r>
          </w:p>
        </w:tc>
        <w:tc>
          <w:tcPr>
            <w:tcW w:w="756" w:type="pct"/>
            <w:tcBorders>
              <w:top w:val="nil"/>
              <w:left w:val="nil"/>
              <w:bottom w:val="single" w:sz="4" w:space="0" w:color="auto"/>
              <w:right w:val="nil"/>
            </w:tcBorders>
            <w:vAlign w:val="center"/>
            <w:hideMark/>
          </w:tcPr>
          <w:p w14:paraId="27282038" w14:textId="77777777" w:rsidR="001461ED" w:rsidRPr="00F77CCF" w:rsidRDefault="001461ED" w:rsidP="00D40378">
            <w:pPr>
              <w:jc w:val="center"/>
              <w:rPr>
                <w:rFonts w:ascii="Roboto Light" w:hAnsi="Roboto Light" w:cs="Arial"/>
                <w:b/>
                <w:bCs/>
                <w:sz w:val="18"/>
                <w:szCs w:val="18"/>
              </w:rPr>
            </w:pPr>
            <w:r>
              <w:rPr>
                <w:rFonts w:ascii="Roboto Light" w:hAnsi="Roboto Light"/>
                <w:b/>
                <w:sz w:val="18"/>
              </w:rPr>
              <w:t>First 9 months</w:t>
            </w:r>
            <w:r>
              <w:rPr>
                <w:rFonts w:ascii="Roboto Light" w:hAnsi="Roboto Light"/>
                <w:b/>
                <w:sz w:val="18"/>
              </w:rPr>
              <w:cr/>
            </w:r>
            <w:r>
              <w:rPr>
                <w:rFonts w:ascii="Roboto Light" w:hAnsi="Roboto Light"/>
                <w:b/>
                <w:sz w:val="18"/>
              </w:rPr>
              <w:br/>
              <w:t>2024</w:t>
            </w:r>
            <w:r>
              <w:rPr>
                <w:rFonts w:ascii="Roboto Light" w:hAnsi="Roboto Light"/>
                <w:b/>
                <w:sz w:val="18"/>
              </w:rPr>
              <w:cr/>
            </w:r>
            <w:r>
              <w:rPr>
                <w:rFonts w:ascii="Roboto Light" w:hAnsi="Roboto Light"/>
                <w:b/>
                <w:sz w:val="18"/>
              </w:rPr>
              <w:br/>
              <w:t>Restated</w:t>
            </w:r>
          </w:p>
        </w:tc>
        <w:tc>
          <w:tcPr>
            <w:tcW w:w="367" w:type="pct"/>
            <w:tcBorders>
              <w:top w:val="nil"/>
              <w:left w:val="nil"/>
              <w:bottom w:val="single" w:sz="4" w:space="0" w:color="auto"/>
              <w:right w:val="nil"/>
            </w:tcBorders>
            <w:shd w:val="clear" w:color="000000" w:fill="EEECE1"/>
            <w:vAlign w:val="center"/>
            <w:hideMark/>
          </w:tcPr>
          <w:p w14:paraId="4968D857" w14:textId="77777777" w:rsidR="001461ED" w:rsidRPr="00F77CCF" w:rsidRDefault="001461ED" w:rsidP="00D40378">
            <w:pPr>
              <w:jc w:val="center"/>
              <w:rPr>
                <w:rFonts w:ascii="Roboto Light" w:hAnsi="Roboto Light" w:cs="Arial"/>
                <w:b/>
                <w:bCs/>
                <w:sz w:val="18"/>
                <w:szCs w:val="18"/>
              </w:rPr>
            </w:pPr>
            <w:r>
              <w:rPr>
                <w:rFonts w:ascii="Roboto Light" w:hAnsi="Roboto Light"/>
                <w:b/>
                <w:sz w:val="18"/>
              </w:rPr>
              <w:t>Change %</w:t>
            </w:r>
          </w:p>
        </w:tc>
      </w:tr>
      <w:tr w:rsidR="001461ED" w:rsidRPr="00F77CCF" w14:paraId="4A3C3292" w14:textId="77777777" w:rsidTr="00D40378">
        <w:trPr>
          <w:trHeight w:val="240"/>
          <w:jc w:val="center"/>
        </w:trPr>
        <w:tc>
          <w:tcPr>
            <w:tcW w:w="3121" w:type="pct"/>
            <w:tcBorders>
              <w:top w:val="nil"/>
              <w:left w:val="nil"/>
              <w:bottom w:val="nil"/>
              <w:right w:val="nil"/>
            </w:tcBorders>
            <w:vAlign w:val="center"/>
            <w:hideMark/>
          </w:tcPr>
          <w:p w14:paraId="7BD06F4D" w14:textId="77777777" w:rsidR="001461ED" w:rsidRPr="00F77CCF" w:rsidRDefault="001461ED" w:rsidP="00D40378">
            <w:pPr>
              <w:rPr>
                <w:rFonts w:ascii="Roboto Light" w:hAnsi="Roboto Light" w:cs="Arial"/>
                <w:b/>
                <w:bCs/>
                <w:sz w:val="18"/>
                <w:szCs w:val="18"/>
              </w:rPr>
            </w:pPr>
            <w:r>
              <w:rPr>
                <w:rFonts w:ascii="Roboto Light" w:hAnsi="Roboto Light"/>
                <w:b/>
                <w:sz w:val="18"/>
              </w:rPr>
              <w:t>Revenues</w:t>
            </w:r>
          </w:p>
        </w:tc>
        <w:tc>
          <w:tcPr>
            <w:tcW w:w="756" w:type="pct"/>
            <w:tcBorders>
              <w:top w:val="nil"/>
              <w:left w:val="nil"/>
              <w:bottom w:val="nil"/>
              <w:right w:val="nil"/>
            </w:tcBorders>
            <w:shd w:val="clear" w:color="000000" w:fill="EEECE1"/>
            <w:noWrap/>
            <w:vAlign w:val="center"/>
            <w:hideMark/>
          </w:tcPr>
          <w:p w14:paraId="064ADAB5"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c>
          <w:tcPr>
            <w:tcW w:w="756" w:type="pct"/>
            <w:tcBorders>
              <w:top w:val="nil"/>
              <w:left w:val="nil"/>
              <w:bottom w:val="nil"/>
              <w:right w:val="nil"/>
            </w:tcBorders>
            <w:noWrap/>
            <w:vAlign w:val="center"/>
            <w:hideMark/>
          </w:tcPr>
          <w:p w14:paraId="00B4FD71" w14:textId="77777777" w:rsidR="001461ED" w:rsidRPr="00F77CCF" w:rsidRDefault="001461ED" w:rsidP="00D40378">
            <w:pPr>
              <w:jc w:val="right"/>
              <w:rPr>
                <w:rFonts w:ascii="Roboto Light" w:hAnsi="Roboto Light" w:cs="Arial"/>
                <w:sz w:val="18"/>
                <w:szCs w:val="18"/>
              </w:rPr>
            </w:pPr>
          </w:p>
        </w:tc>
        <w:tc>
          <w:tcPr>
            <w:tcW w:w="367" w:type="pct"/>
            <w:tcBorders>
              <w:top w:val="nil"/>
              <w:left w:val="nil"/>
              <w:bottom w:val="nil"/>
              <w:right w:val="nil"/>
            </w:tcBorders>
            <w:shd w:val="clear" w:color="000000" w:fill="EEECE1"/>
            <w:noWrap/>
            <w:vAlign w:val="center"/>
            <w:hideMark/>
          </w:tcPr>
          <w:p w14:paraId="3A6B878E"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r>
      <w:tr w:rsidR="001461ED" w:rsidRPr="00F77CCF" w14:paraId="511BC012" w14:textId="77777777" w:rsidTr="00D40378">
        <w:trPr>
          <w:trHeight w:val="240"/>
          <w:jc w:val="center"/>
        </w:trPr>
        <w:tc>
          <w:tcPr>
            <w:tcW w:w="3121" w:type="pct"/>
            <w:tcBorders>
              <w:top w:val="nil"/>
              <w:left w:val="nil"/>
              <w:bottom w:val="nil"/>
              <w:right w:val="nil"/>
            </w:tcBorders>
            <w:vAlign w:val="center"/>
            <w:hideMark/>
          </w:tcPr>
          <w:p w14:paraId="026CE422" w14:textId="77777777" w:rsidR="001461ED" w:rsidRPr="00F77CCF" w:rsidRDefault="001461ED" w:rsidP="00D40378">
            <w:pPr>
              <w:rPr>
                <w:rFonts w:ascii="Roboto Light" w:hAnsi="Roboto Light" w:cs="Arial"/>
                <w:sz w:val="18"/>
                <w:szCs w:val="18"/>
              </w:rPr>
            </w:pPr>
            <w:r>
              <w:rPr>
                <w:rFonts w:ascii="Roboto Light" w:hAnsi="Roboto Light"/>
                <w:sz w:val="18"/>
              </w:rPr>
              <w:t>Revenues from goods and services</w:t>
            </w:r>
          </w:p>
        </w:tc>
        <w:tc>
          <w:tcPr>
            <w:tcW w:w="756" w:type="pct"/>
            <w:tcBorders>
              <w:top w:val="nil"/>
              <w:left w:val="nil"/>
              <w:bottom w:val="nil"/>
              <w:right w:val="nil"/>
            </w:tcBorders>
            <w:shd w:val="clear" w:color="000000" w:fill="EEECE1"/>
            <w:noWrap/>
            <w:vAlign w:val="center"/>
            <w:hideMark/>
          </w:tcPr>
          <w:p w14:paraId="26789EB5" w14:textId="77777777" w:rsidR="001461ED" w:rsidRPr="00F77CCF" w:rsidRDefault="001461ED" w:rsidP="00D40378">
            <w:pPr>
              <w:jc w:val="right"/>
              <w:rPr>
                <w:rFonts w:ascii="Roboto Light" w:hAnsi="Roboto Light" w:cs="Arial"/>
                <w:sz w:val="18"/>
                <w:szCs w:val="18"/>
              </w:rPr>
            </w:pPr>
            <w:r>
              <w:rPr>
                <w:rFonts w:ascii="Roboto Light" w:hAnsi="Roboto Light"/>
                <w:sz w:val="18"/>
              </w:rPr>
              <w:t>4,669,891</w:t>
            </w:r>
          </w:p>
        </w:tc>
        <w:tc>
          <w:tcPr>
            <w:tcW w:w="756" w:type="pct"/>
            <w:tcBorders>
              <w:top w:val="nil"/>
              <w:left w:val="nil"/>
              <w:bottom w:val="nil"/>
              <w:right w:val="nil"/>
            </w:tcBorders>
            <w:noWrap/>
            <w:vAlign w:val="center"/>
            <w:hideMark/>
          </w:tcPr>
          <w:p w14:paraId="7C6D3BA0" w14:textId="77777777" w:rsidR="001461ED" w:rsidRPr="00F77CCF" w:rsidRDefault="001461ED" w:rsidP="00D40378">
            <w:pPr>
              <w:jc w:val="right"/>
              <w:rPr>
                <w:rFonts w:ascii="Roboto Light" w:hAnsi="Roboto Light" w:cs="Arial"/>
                <w:sz w:val="18"/>
                <w:szCs w:val="18"/>
              </w:rPr>
            </w:pPr>
            <w:r>
              <w:rPr>
                <w:rFonts w:ascii="Roboto Light" w:hAnsi="Roboto Light"/>
                <w:sz w:val="18"/>
              </w:rPr>
              <w:t>4,067,369</w:t>
            </w:r>
          </w:p>
        </w:tc>
        <w:tc>
          <w:tcPr>
            <w:tcW w:w="367" w:type="pct"/>
            <w:tcBorders>
              <w:top w:val="nil"/>
              <w:left w:val="nil"/>
              <w:bottom w:val="nil"/>
              <w:right w:val="nil"/>
            </w:tcBorders>
            <w:shd w:val="clear" w:color="000000" w:fill="EEECE1"/>
            <w:noWrap/>
            <w:vAlign w:val="center"/>
            <w:hideMark/>
          </w:tcPr>
          <w:p w14:paraId="059570F9" w14:textId="77777777" w:rsidR="001461ED" w:rsidRPr="00F77CCF" w:rsidRDefault="001461ED" w:rsidP="00D40378">
            <w:pPr>
              <w:jc w:val="right"/>
              <w:rPr>
                <w:rFonts w:ascii="Roboto Light" w:hAnsi="Roboto Light" w:cs="Arial"/>
                <w:sz w:val="18"/>
                <w:szCs w:val="18"/>
              </w:rPr>
            </w:pPr>
            <w:r>
              <w:rPr>
                <w:rFonts w:ascii="Roboto Light" w:hAnsi="Roboto Light"/>
                <w:sz w:val="18"/>
              </w:rPr>
              <w:t>14.8</w:t>
            </w:r>
          </w:p>
        </w:tc>
      </w:tr>
      <w:tr w:rsidR="001461ED" w:rsidRPr="00F77CCF" w14:paraId="184D641D" w14:textId="77777777" w:rsidTr="00D40378">
        <w:trPr>
          <w:trHeight w:val="240"/>
          <w:jc w:val="center"/>
        </w:trPr>
        <w:tc>
          <w:tcPr>
            <w:tcW w:w="3121" w:type="pct"/>
            <w:tcBorders>
              <w:top w:val="nil"/>
              <w:left w:val="nil"/>
              <w:bottom w:val="nil"/>
              <w:right w:val="nil"/>
            </w:tcBorders>
            <w:vAlign w:val="center"/>
            <w:hideMark/>
          </w:tcPr>
          <w:p w14:paraId="30A4548C" w14:textId="77777777" w:rsidR="001461ED" w:rsidRPr="00F77CCF" w:rsidRDefault="001461ED" w:rsidP="00D40378">
            <w:pPr>
              <w:rPr>
                <w:rFonts w:ascii="Roboto Light" w:hAnsi="Roboto Light" w:cs="Arial"/>
                <w:sz w:val="18"/>
                <w:szCs w:val="18"/>
              </w:rPr>
            </w:pPr>
            <w:r>
              <w:rPr>
                <w:rFonts w:ascii="Roboto Light" w:hAnsi="Roboto Light"/>
                <w:sz w:val="18"/>
              </w:rPr>
              <w:t>Other income</w:t>
            </w:r>
          </w:p>
        </w:tc>
        <w:tc>
          <w:tcPr>
            <w:tcW w:w="756" w:type="pct"/>
            <w:tcBorders>
              <w:top w:val="nil"/>
              <w:left w:val="nil"/>
              <w:bottom w:val="nil"/>
              <w:right w:val="nil"/>
            </w:tcBorders>
            <w:shd w:val="clear" w:color="000000" w:fill="EEECE1"/>
            <w:noWrap/>
            <w:vAlign w:val="center"/>
            <w:hideMark/>
          </w:tcPr>
          <w:p w14:paraId="2B4C48D1" w14:textId="77777777" w:rsidR="001461ED" w:rsidRPr="00F77CCF" w:rsidRDefault="001461ED" w:rsidP="00D40378">
            <w:pPr>
              <w:jc w:val="right"/>
              <w:rPr>
                <w:rFonts w:ascii="Roboto Light" w:hAnsi="Roboto Light" w:cs="Arial"/>
                <w:sz w:val="18"/>
                <w:szCs w:val="18"/>
              </w:rPr>
            </w:pPr>
            <w:r>
              <w:rPr>
                <w:rFonts w:ascii="Roboto Light" w:hAnsi="Roboto Light"/>
                <w:sz w:val="18"/>
              </w:rPr>
              <w:t>169,880</w:t>
            </w:r>
          </w:p>
        </w:tc>
        <w:tc>
          <w:tcPr>
            <w:tcW w:w="756" w:type="pct"/>
            <w:tcBorders>
              <w:top w:val="nil"/>
              <w:left w:val="nil"/>
              <w:bottom w:val="nil"/>
              <w:right w:val="nil"/>
            </w:tcBorders>
            <w:noWrap/>
            <w:vAlign w:val="center"/>
            <w:hideMark/>
          </w:tcPr>
          <w:p w14:paraId="2892381E" w14:textId="77777777" w:rsidR="001461ED" w:rsidRPr="00F77CCF" w:rsidRDefault="001461ED" w:rsidP="00D40378">
            <w:pPr>
              <w:jc w:val="right"/>
              <w:rPr>
                <w:rFonts w:ascii="Roboto Light" w:hAnsi="Roboto Light" w:cs="Arial"/>
                <w:sz w:val="18"/>
                <w:szCs w:val="18"/>
              </w:rPr>
            </w:pPr>
            <w:r>
              <w:rPr>
                <w:rFonts w:ascii="Roboto Light" w:hAnsi="Roboto Light"/>
                <w:sz w:val="18"/>
              </w:rPr>
              <w:t>89,245</w:t>
            </w:r>
          </w:p>
        </w:tc>
        <w:tc>
          <w:tcPr>
            <w:tcW w:w="367" w:type="pct"/>
            <w:tcBorders>
              <w:top w:val="nil"/>
              <w:left w:val="nil"/>
              <w:bottom w:val="nil"/>
              <w:right w:val="nil"/>
            </w:tcBorders>
            <w:shd w:val="clear" w:color="000000" w:fill="EEECE1"/>
            <w:noWrap/>
            <w:vAlign w:val="center"/>
            <w:hideMark/>
          </w:tcPr>
          <w:p w14:paraId="0C7FA79A" w14:textId="77777777" w:rsidR="001461ED" w:rsidRPr="00F77CCF" w:rsidRDefault="001461ED" w:rsidP="00D40378">
            <w:pPr>
              <w:jc w:val="right"/>
              <w:rPr>
                <w:rFonts w:ascii="Roboto Light" w:hAnsi="Roboto Light" w:cs="Arial"/>
                <w:sz w:val="18"/>
                <w:szCs w:val="18"/>
              </w:rPr>
            </w:pPr>
            <w:r>
              <w:rPr>
                <w:rFonts w:ascii="Roboto Light" w:hAnsi="Roboto Light"/>
                <w:sz w:val="18"/>
              </w:rPr>
              <w:t>90.4</w:t>
            </w:r>
          </w:p>
        </w:tc>
      </w:tr>
      <w:tr w:rsidR="001461ED" w:rsidRPr="00F77CCF" w14:paraId="46BF1BA4"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6C06639B" w14:textId="77777777" w:rsidR="001461ED" w:rsidRPr="00F77CCF" w:rsidRDefault="001461ED" w:rsidP="00D40378">
            <w:pPr>
              <w:rPr>
                <w:rFonts w:ascii="Roboto Light" w:hAnsi="Roboto Light" w:cs="Arial"/>
                <w:b/>
                <w:bCs/>
                <w:sz w:val="18"/>
                <w:szCs w:val="18"/>
              </w:rPr>
            </w:pPr>
            <w:r>
              <w:rPr>
                <w:rFonts w:ascii="Roboto Light" w:hAnsi="Roboto Light"/>
                <w:b/>
                <w:sz w:val="18"/>
              </w:rPr>
              <w:t xml:space="preserve">Total revenues  </w:t>
            </w:r>
          </w:p>
        </w:tc>
        <w:tc>
          <w:tcPr>
            <w:tcW w:w="756" w:type="pct"/>
            <w:tcBorders>
              <w:top w:val="single" w:sz="4" w:space="0" w:color="auto"/>
              <w:left w:val="nil"/>
              <w:bottom w:val="single" w:sz="4" w:space="0" w:color="auto"/>
              <w:right w:val="nil"/>
            </w:tcBorders>
            <w:shd w:val="clear" w:color="000000" w:fill="EEECE1"/>
            <w:noWrap/>
            <w:vAlign w:val="center"/>
            <w:hideMark/>
          </w:tcPr>
          <w:p w14:paraId="4C281E8E"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4,839,771</w:t>
            </w:r>
          </w:p>
        </w:tc>
        <w:tc>
          <w:tcPr>
            <w:tcW w:w="756" w:type="pct"/>
            <w:tcBorders>
              <w:top w:val="single" w:sz="4" w:space="0" w:color="auto"/>
              <w:left w:val="nil"/>
              <w:bottom w:val="single" w:sz="4" w:space="0" w:color="auto"/>
              <w:right w:val="nil"/>
            </w:tcBorders>
            <w:noWrap/>
            <w:vAlign w:val="center"/>
            <w:hideMark/>
          </w:tcPr>
          <w:p w14:paraId="3A290122"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4,156,614</w:t>
            </w:r>
          </w:p>
        </w:tc>
        <w:tc>
          <w:tcPr>
            <w:tcW w:w="367" w:type="pct"/>
            <w:tcBorders>
              <w:top w:val="single" w:sz="4" w:space="0" w:color="auto"/>
              <w:left w:val="nil"/>
              <w:bottom w:val="single" w:sz="4" w:space="0" w:color="auto"/>
              <w:right w:val="nil"/>
            </w:tcBorders>
            <w:shd w:val="clear" w:color="000000" w:fill="EEECE1"/>
            <w:noWrap/>
            <w:vAlign w:val="center"/>
            <w:hideMark/>
          </w:tcPr>
          <w:p w14:paraId="521D3D22"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16.4</w:t>
            </w:r>
          </w:p>
        </w:tc>
      </w:tr>
      <w:tr w:rsidR="001461ED" w:rsidRPr="00F77CCF" w14:paraId="52F3AECE" w14:textId="77777777" w:rsidTr="00D40378">
        <w:trPr>
          <w:trHeight w:val="240"/>
          <w:jc w:val="center"/>
        </w:trPr>
        <w:tc>
          <w:tcPr>
            <w:tcW w:w="3121" w:type="pct"/>
            <w:tcBorders>
              <w:top w:val="nil"/>
              <w:left w:val="nil"/>
              <w:bottom w:val="nil"/>
              <w:right w:val="nil"/>
            </w:tcBorders>
            <w:vAlign w:val="center"/>
            <w:hideMark/>
          </w:tcPr>
          <w:p w14:paraId="2C9437B3" w14:textId="77777777" w:rsidR="001461ED" w:rsidRPr="00F77CCF" w:rsidRDefault="001461ED" w:rsidP="00D40378">
            <w:pPr>
              <w:rPr>
                <w:rFonts w:ascii="Roboto Light" w:hAnsi="Roboto Light" w:cs="Arial"/>
                <w:b/>
                <w:bCs/>
                <w:sz w:val="18"/>
                <w:szCs w:val="18"/>
              </w:rPr>
            </w:pPr>
            <w:r>
              <w:rPr>
                <w:rFonts w:ascii="Roboto Light" w:hAnsi="Roboto Light"/>
                <w:b/>
                <w:sz w:val="18"/>
              </w:rPr>
              <w:t>Operating expenses</w:t>
            </w:r>
          </w:p>
        </w:tc>
        <w:tc>
          <w:tcPr>
            <w:tcW w:w="756" w:type="pct"/>
            <w:tcBorders>
              <w:top w:val="nil"/>
              <w:left w:val="nil"/>
              <w:bottom w:val="nil"/>
              <w:right w:val="nil"/>
            </w:tcBorders>
            <w:shd w:val="clear" w:color="000000" w:fill="EEECE1"/>
            <w:noWrap/>
            <w:vAlign w:val="center"/>
            <w:hideMark/>
          </w:tcPr>
          <w:p w14:paraId="4D298EB1"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c>
          <w:tcPr>
            <w:tcW w:w="756" w:type="pct"/>
            <w:tcBorders>
              <w:top w:val="nil"/>
              <w:left w:val="nil"/>
              <w:bottom w:val="nil"/>
              <w:right w:val="nil"/>
            </w:tcBorders>
            <w:noWrap/>
            <w:vAlign w:val="center"/>
            <w:hideMark/>
          </w:tcPr>
          <w:p w14:paraId="4E53ECC6" w14:textId="77777777" w:rsidR="001461ED" w:rsidRPr="00F77CCF" w:rsidRDefault="001461ED" w:rsidP="00D40378">
            <w:pPr>
              <w:jc w:val="right"/>
              <w:rPr>
                <w:rFonts w:ascii="Roboto Light" w:hAnsi="Roboto Light" w:cs="Arial"/>
                <w:sz w:val="18"/>
                <w:szCs w:val="18"/>
              </w:rPr>
            </w:pPr>
          </w:p>
        </w:tc>
        <w:tc>
          <w:tcPr>
            <w:tcW w:w="367" w:type="pct"/>
            <w:tcBorders>
              <w:top w:val="nil"/>
              <w:left w:val="nil"/>
              <w:bottom w:val="nil"/>
              <w:right w:val="nil"/>
            </w:tcBorders>
            <w:shd w:val="clear" w:color="000000" w:fill="EEECE1"/>
            <w:noWrap/>
            <w:vAlign w:val="center"/>
            <w:hideMark/>
          </w:tcPr>
          <w:p w14:paraId="04AF44EB"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r>
      <w:tr w:rsidR="001461ED" w:rsidRPr="00F77CCF" w14:paraId="5F210AF8" w14:textId="77777777" w:rsidTr="00D40378">
        <w:trPr>
          <w:trHeight w:val="240"/>
          <w:jc w:val="center"/>
        </w:trPr>
        <w:tc>
          <w:tcPr>
            <w:tcW w:w="3121" w:type="pct"/>
            <w:tcBorders>
              <w:top w:val="nil"/>
              <w:left w:val="nil"/>
              <w:bottom w:val="nil"/>
              <w:right w:val="nil"/>
            </w:tcBorders>
            <w:vAlign w:val="center"/>
            <w:hideMark/>
          </w:tcPr>
          <w:p w14:paraId="698600F5" w14:textId="77777777" w:rsidR="001461ED" w:rsidRPr="00F77CCF" w:rsidRDefault="001461ED" w:rsidP="00D40378">
            <w:pPr>
              <w:rPr>
                <w:rFonts w:ascii="Roboto Light" w:hAnsi="Roboto Light" w:cs="Arial"/>
                <w:sz w:val="18"/>
                <w:szCs w:val="18"/>
              </w:rPr>
            </w:pPr>
            <w:r>
              <w:rPr>
                <w:rFonts w:ascii="Roboto Light" w:hAnsi="Roboto Light"/>
                <w:sz w:val="18"/>
              </w:rPr>
              <w:t>Raw materials, consumables, supplies and goods</w:t>
            </w:r>
          </w:p>
        </w:tc>
        <w:tc>
          <w:tcPr>
            <w:tcW w:w="756" w:type="pct"/>
            <w:tcBorders>
              <w:top w:val="nil"/>
              <w:left w:val="nil"/>
              <w:bottom w:val="nil"/>
              <w:right w:val="nil"/>
            </w:tcBorders>
            <w:shd w:val="clear" w:color="000000" w:fill="EEECE1"/>
            <w:noWrap/>
            <w:vAlign w:val="center"/>
            <w:hideMark/>
          </w:tcPr>
          <w:p w14:paraId="54DF94F7" w14:textId="77777777" w:rsidR="001461ED" w:rsidRPr="00F77CCF" w:rsidRDefault="001461ED" w:rsidP="00D40378">
            <w:pPr>
              <w:jc w:val="right"/>
              <w:rPr>
                <w:rFonts w:ascii="Roboto Light" w:hAnsi="Roboto Light" w:cs="Arial"/>
                <w:sz w:val="18"/>
                <w:szCs w:val="18"/>
              </w:rPr>
            </w:pPr>
            <w:r>
              <w:rPr>
                <w:rFonts w:ascii="Roboto Light" w:hAnsi="Roboto Light"/>
                <w:sz w:val="18"/>
              </w:rPr>
              <w:t>(1,767,239)</w:t>
            </w:r>
          </w:p>
        </w:tc>
        <w:tc>
          <w:tcPr>
            <w:tcW w:w="756" w:type="pct"/>
            <w:tcBorders>
              <w:top w:val="nil"/>
              <w:left w:val="nil"/>
              <w:bottom w:val="nil"/>
              <w:right w:val="nil"/>
            </w:tcBorders>
            <w:noWrap/>
            <w:vAlign w:val="center"/>
            <w:hideMark/>
          </w:tcPr>
          <w:p w14:paraId="20629908" w14:textId="77777777" w:rsidR="001461ED" w:rsidRPr="00F77CCF" w:rsidRDefault="001461ED" w:rsidP="00D40378">
            <w:pPr>
              <w:jc w:val="right"/>
              <w:rPr>
                <w:rFonts w:ascii="Roboto Light" w:hAnsi="Roboto Light" w:cs="Arial"/>
                <w:sz w:val="18"/>
                <w:szCs w:val="18"/>
              </w:rPr>
            </w:pPr>
            <w:r>
              <w:rPr>
                <w:rFonts w:ascii="Roboto Light" w:hAnsi="Roboto Light"/>
                <w:sz w:val="18"/>
              </w:rPr>
              <w:t>(1,429,375)</w:t>
            </w:r>
          </w:p>
        </w:tc>
        <w:tc>
          <w:tcPr>
            <w:tcW w:w="367" w:type="pct"/>
            <w:tcBorders>
              <w:top w:val="nil"/>
              <w:left w:val="nil"/>
              <w:bottom w:val="nil"/>
              <w:right w:val="nil"/>
            </w:tcBorders>
            <w:shd w:val="clear" w:color="000000" w:fill="EEECE1"/>
            <w:noWrap/>
            <w:vAlign w:val="center"/>
            <w:hideMark/>
          </w:tcPr>
          <w:p w14:paraId="01957E75" w14:textId="77777777" w:rsidR="001461ED" w:rsidRPr="00F77CCF" w:rsidRDefault="001461ED" w:rsidP="00D40378">
            <w:pPr>
              <w:jc w:val="right"/>
              <w:rPr>
                <w:rFonts w:ascii="Roboto Light" w:hAnsi="Roboto Light" w:cs="Arial"/>
                <w:sz w:val="18"/>
                <w:szCs w:val="18"/>
              </w:rPr>
            </w:pPr>
            <w:r>
              <w:rPr>
                <w:rFonts w:ascii="Roboto Light" w:hAnsi="Roboto Light"/>
                <w:sz w:val="18"/>
              </w:rPr>
              <w:t>23.6</w:t>
            </w:r>
          </w:p>
        </w:tc>
      </w:tr>
      <w:tr w:rsidR="001461ED" w:rsidRPr="00F77CCF" w14:paraId="28874A1F" w14:textId="77777777" w:rsidTr="00D40378">
        <w:trPr>
          <w:trHeight w:val="240"/>
          <w:jc w:val="center"/>
        </w:trPr>
        <w:tc>
          <w:tcPr>
            <w:tcW w:w="3121" w:type="pct"/>
            <w:tcBorders>
              <w:top w:val="nil"/>
              <w:left w:val="nil"/>
              <w:bottom w:val="nil"/>
              <w:right w:val="nil"/>
            </w:tcBorders>
            <w:vAlign w:val="center"/>
            <w:hideMark/>
          </w:tcPr>
          <w:p w14:paraId="11AEBC57" w14:textId="77777777" w:rsidR="001461ED" w:rsidRPr="00F77CCF" w:rsidRDefault="001461ED" w:rsidP="00D40378">
            <w:pPr>
              <w:rPr>
                <w:rFonts w:ascii="Roboto Light" w:hAnsi="Roboto Light" w:cs="Arial"/>
                <w:sz w:val="18"/>
                <w:szCs w:val="18"/>
              </w:rPr>
            </w:pPr>
            <w:r>
              <w:rPr>
                <w:rFonts w:ascii="Roboto Light" w:hAnsi="Roboto Light"/>
                <w:sz w:val="18"/>
              </w:rPr>
              <w:t>Services and leased assets</w:t>
            </w:r>
          </w:p>
        </w:tc>
        <w:tc>
          <w:tcPr>
            <w:tcW w:w="756" w:type="pct"/>
            <w:tcBorders>
              <w:top w:val="nil"/>
              <w:left w:val="nil"/>
              <w:bottom w:val="nil"/>
              <w:right w:val="nil"/>
            </w:tcBorders>
            <w:shd w:val="clear" w:color="000000" w:fill="EEECE1"/>
            <w:noWrap/>
            <w:vAlign w:val="center"/>
            <w:hideMark/>
          </w:tcPr>
          <w:p w14:paraId="777C184A" w14:textId="77777777" w:rsidR="001461ED" w:rsidRPr="00F77CCF" w:rsidRDefault="001461ED" w:rsidP="00D40378">
            <w:pPr>
              <w:jc w:val="right"/>
              <w:rPr>
                <w:rFonts w:ascii="Roboto Light" w:hAnsi="Roboto Light" w:cs="Arial"/>
                <w:sz w:val="18"/>
                <w:szCs w:val="18"/>
              </w:rPr>
            </w:pPr>
            <w:r>
              <w:rPr>
                <w:rFonts w:ascii="Roboto Light" w:hAnsi="Roboto Light"/>
                <w:sz w:val="18"/>
              </w:rPr>
              <w:t>(1,531,445)</w:t>
            </w:r>
          </w:p>
        </w:tc>
        <w:tc>
          <w:tcPr>
            <w:tcW w:w="756" w:type="pct"/>
            <w:tcBorders>
              <w:top w:val="nil"/>
              <w:left w:val="nil"/>
              <w:bottom w:val="nil"/>
              <w:right w:val="nil"/>
            </w:tcBorders>
            <w:noWrap/>
            <w:vAlign w:val="center"/>
            <w:hideMark/>
          </w:tcPr>
          <w:p w14:paraId="6EBCC20C" w14:textId="77777777" w:rsidR="001461ED" w:rsidRPr="00F77CCF" w:rsidRDefault="001461ED" w:rsidP="00D40378">
            <w:pPr>
              <w:jc w:val="right"/>
              <w:rPr>
                <w:rFonts w:ascii="Roboto Light" w:hAnsi="Roboto Light" w:cs="Arial"/>
                <w:sz w:val="18"/>
                <w:szCs w:val="18"/>
              </w:rPr>
            </w:pPr>
            <w:r>
              <w:rPr>
                <w:rFonts w:ascii="Roboto Light" w:hAnsi="Roboto Light"/>
                <w:sz w:val="18"/>
              </w:rPr>
              <w:t>(1,307,732)</w:t>
            </w:r>
          </w:p>
        </w:tc>
        <w:tc>
          <w:tcPr>
            <w:tcW w:w="367" w:type="pct"/>
            <w:tcBorders>
              <w:top w:val="nil"/>
              <w:left w:val="nil"/>
              <w:bottom w:val="nil"/>
              <w:right w:val="nil"/>
            </w:tcBorders>
            <w:shd w:val="clear" w:color="000000" w:fill="EEECE1"/>
            <w:noWrap/>
            <w:vAlign w:val="center"/>
            <w:hideMark/>
          </w:tcPr>
          <w:p w14:paraId="5A6D273E" w14:textId="77777777" w:rsidR="001461ED" w:rsidRPr="00F77CCF" w:rsidRDefault="001461ED" w:rsidP="00D40378">
            <w:pPr>
              <w:jc w:val="right"/>
              <w:rPr>
                <w:rFonts w:ascii="Roboto Light" w:hAnsi="Roboto Light" w:cs="Arial"/>
                <w:sz w:val="18"/>
                <w:szCs w:val="18"/>
              </w:rPr>
            </w:pPr>
            <w:r>
              <w:rPr>
                <w:rFonts w:ascii="Roboto Light" w:hAnsi="Roboto Light"/>
                <w:sz w:val="18"/>
              </w:rPr>
              <w:t>17.1</w:t>
            </w:r>
          </w:p>
        </w:tc>
      </w:tr>
      <w:tr w:rsidR="001461ED" w:rsidRPr="00F77CCF" w14:paraId="032E2E66" w14:textId="77777777" w:rsidTr="00D40378">
        <w:trPr>
          <w:trHeight w:val="240"/>
          <w:jc w:val="center"/>
        </w:trPr>
        <w:tc>
          <w:tcPr>
            <w:tcW w:w="3121" w:type="pct"/>
            <w:tcBorders>
              <w:top w:val="nil"/>
              <w:left w:val="nil"/>
              <w:bottom w:val="nil"/>
              <w:right w:val="nil"/>
            </w:tcBorders>
            <w:vAlign w:val="center"/>
            <w:hideMark/>
          </w:tcPr>
          <w:p w14:paraId="69333D82" w14:textId="77777777" w:rsidR="001461ED" w:rsidRPr="00F77CCF" w:rsidRDefault="001461ED" w:rsidP="00D40378">
            <w:pPr>
              <w:rPr>
                <w:rFonts w:ascii="Roboto Light" w:hAnsi="Roboto Light" w:cs="Arial"/>
                <w:sz w:val="18"/>
                <w:szCs w:val="18"/>
              </w:rPr>
            </w:pPr>
            <w:r>
              <w:rPr>
                <w:rFonts w:ascii="Roboto Light" w:hAnsi="Roboto Light"/>
                <w:sz w:val="18"/>
              </w:rPr>
              <w:t>Other operating expenses</w:t>
            </w:r>
          </w:p>
        </w:tc>
        <w:tc>
          <w:tcPr>
            <w:tcW w:w="756" w:type="pct"/>
            <w:tcBorders>
              <w:top w:val="nil"/>
              <w:left w:val="nil"/>
              <w:bottom w:val="nil"/>
              <w:right w:val="nil"/>
            </w:tcBorders>
            <w:shd w:val="clear" w:color="000000" w:fill="EEECE1"/>
            <w:noWrap/>
            <w:vAlign w:val="center"/>
            <w:hideMark/>
          </w:tcPr>
          <w:p w14:paraId="6DCB918B" w14:textId="77777777" w:rsidR="001461ED" w:rsidRPr="00F77CCF" w:rsidRDefault="001461ED" w:rsidP="00D40378">
            <w:pPr>
              <w:jc w:val="right"/>
              <w:rPr>
                <w:rFonts w:ascii="Roboto Light" w:hAnsi="Roboto Light" w:cs="Arial"/>
                <w:sz w:val="18"/>
                <w:szCs w:val="18"/>
              </w:rPr>
            </w:pPr>
            <w:r>
              <w:rPr>
                <w:rFonts w:ascii="Roboto Light" w:hAnsi="Roboto Light"/>
                <w:sz w:val="18"/>
              </w:rPr>
              <w:t>(80,798)</w:t>
            </w:r>
          </w:p>
        </w:tc>
        <w:tc>
          <w:tcPr>
            <w:tcW w:w="756" w:type="pct"/>
            <w:tcBorders>
              <w:top w:val="nil"/>
              <w:left w:val="nil"/>
              <w:bottom w:val="nil"/>
              <w:right w:val="nil"/>
            </w:tcBorders>
            <w:noWrap/>
            <w:vAlign w:val="center"/>
            <w:hideMark/>
          </w:tcPr>
          <w:p w14:paraId="359B8239" w14:textId="77777777" w:rsidR="001461ED" w:rsidRPr="00F77CCF" w:rsidRDefault="001461ED" w:rsidP="00D40378">
            <w:pPr>
              <w:jc w:val="right"/>
              <w:rPr>
                <w:rFonts w:ascii="Roboto Light" w:hAnsi="Roboto Light" w:cs="Arial"/>
                <w:sz w:val="18"/>
                <w:szCs w:val="18"/>
              </w:rPr>
            </w:pPr>
            <w:r>
              <w:rPr>
                <w:rFonts w:ascii="Roboto Light" w:hAnsi="Roboto Light"/>
                <w:sz w:val="18"/>
              </w:rPr>
              <w:t>(69,858)</w:t>
            </w:r>
          </w:p>
        </w:tc>
        <w:tc>
          <w:tcPr>
            <w:tcW w:w="367" w:type="pct"/>
            <w:tcBorders>
              <w:top w:val="nil"/>
              <w:left w:val="nil"/>
              <w:bottom w:val="nil"/>
              <w:right w:val="nil"/>
            </w:tcBorders>
            <w:shd w:val="clear" w:color="000000" w:fill="EEECE1"/>
            <w:noWrap/>
            <w:vAlign w:val="center"/>
            <w:hideMark/>
          </w:tcPr>
          <w:p w14:paraId="29DFA0F2" w14:textId="77777777" w:rsidR="001461ED" w:rsidRPr="00F77CCF" w:rsidRDefault="001461ED" w:rsidP="00D40378">
            <w:pPr>
              <w:jc w:val="right"/>
              <w:rPr>
                <w:rFonts w:ascii="Roboto Light" w:hAnsi="Roboto Light" w:cs="Arial"/>
                <w:sz w:val="18"/>
                <w:szCs w:val="18"/>
              </w:rPr>
            </w:pPr>
            <w:r>
              <w:rPr>
                <w:rFonts w:ascii="Roboto Light" w:hAnsi="Roboto Light"/>
                <w:sz w:val="18"/>
              </w:rPr>
              <w:t>15.7</w:t>
            </w:r>
          </w:p>
        </w:tc>
      </w:tr>
      <w:tr w:rsidR="001461ED" w:rsidRPr="00F77CCF" w14:paraId="03405C4D" w14:textId="77777777" w:rsidTr="00D40378">
        <w:trPr>
          <w:trHeight w:val="240"/>
          <w:jc w:val="center"/>
        </w:trPr>
        <w:tc>
          <w:tcPr>
            <w:tcW w:w="3121" w:type="pct"/>
            <w:tcBorders>
              <w:top w:val="nil"/>
              <w:left w:val="nil"/>
              <w:bottom w:val="nil"/>
              <w:right w:val="nil"/>
            </w:tcBorders>
            <w:vAlign w:val="center"/>
            <w:hideMark/>
          </w:tcPr>
          <w:p w14:paraId="1DB6A14D" w14:textId="77777777" w:rsidR="001461ED" w:rsidRPr="00F77CCF" w:rsidRDefault="001461ED" w:rsidP="00D40378">
            <w:pPr>
              <w:rPr>
                <w:rFonts w:ascii="Roboto Light" w:hAnsi="Roboto Light" w:cs="Arial"/>
                <w:sz w:val="18"/>
                <w:szCs w:val="18"/>
              </w:rPr>
            </w:pPr>
            <w:r>
              <w:rPr>
                <w:rFonts w:ascii="Roboto Light" w:hAnsi="Roboto Light"/>
                <w:sz w:val="18"/>
              </w:rPr>
              <w:t>Capitalised costs for internal work</w:t>
            </w:r>
          </w:p>
        </w:tc>
        <w:tc>
          <w:tcPr>
            <w:tcW w:w="756" w:type="pct"/>
            <w:tcBorders>
              <w:top w:val="nil"/>
              <w:left w:val="nil"/>
              <w:bottom w:val="nil"/>
              <w:right w:val="nil"/>
            </w:tcBorders>
            <w:shd w:val="clear" w:color="000000" w:fill="EEECE1"/>
            <w:noWrap/>
            <w:vAlign w:val="center"/>
            <w:hideMark/>
          </w:tcPr>
          <w:p w14:paraId="0256BAD4" w14:textId="77777777" w:rsidR="001461ED" w:rsidRPr="00F77CCF" w:rsidRDefault="001461ED" w:rsidP="00D40378">
            <w:pPr>
              <w:jc w:val="right"/>
              <w:rPr>
                <w:rFonts w:ascii="Roboto Light" w:hAnsi="Roboto Light" w:cs="Arial"/>
                <w:sz w:val="18"/>
                <w:szCs w:val="18"/>
              </w:rPr>
            </w:pPr>
            <w:r>
              <w:rPr>
                <w:rFonts w:ascii="Roboto Light" w:hAnsi="Roboto Light"/>
                <w:sz w:val="18"/>
              </w:rPr>
              <w:t>42,580</w:t>
            </w:r>
          </w:p>
        </w:tc>
        <w:tc>
          <w:tcPr>
            <w:tcW w:w="756" w:type="pct"/>
            <w:tcBorders>
              <w:top w:val="nil"/>
              <w:left w:val="nil"/>
              <w:bottom w:val="nil"/>
              <w:right w:val="nil"/>
            </w:tcBorders>
            <w:noWrap/>
            <w:vAlign w:val="center"/>
            <w:hideMark/>
          </w:tcPr>
          <w:p w14:paraId="544A15CE" w14:textId="77777777" w:rsidR="001461ED" w:rsidRPr="00F77CCF" w:rsidRDefault="001461ED" w:rsidP="00D40378">
            <w:pPr>
              <w:jc w:val="right"/>
              <w:rPr>
                <w:rFonts w:ascii="Roboto Light" w:hAnsi="Roboto Light" w:cs="Arial"/>
                <w:sz w:val="18"/>
                <w:szCs w:val="18"/>
              </w:rPr>
            </w:pPr>
            <w:r>
              <w:rPr>
                <w:rFonts w:ascii="Roboto Light" w:hAnsi="Roboto Light"/>
                <w:sz w:val="18"/>
              </w:rPr>
              <w:t>43,086</w:t>
            </w:r>
          </w:p>
        </w:tc>
        <w:tc>
          <w:tcPr>
            <w:tcW w:w="367" w:type="pct"/>
            <w:tcBorders>
              <w:top w:val="nil"/>
              <w:left w:val="nil"/>
              <w:bottom w:val="nil"/>
              <w:right w:val="nil"/>
            </w:tcBorders>
            <w:shd w:val="clear" w:color="000000" w:fill="EEECE1"/>
            <w:noWrap/>
            <w:vAlign w:val="center"/>
            <w:hideMark/>
          </w:tcPr>
          <w:p w14:paraId="393361EC" w14:textId="77777777" w:rsidR="001461ED" w:rsidRPr="00F77CCF" w:rsidRDefault="001461ED" w:rsidP="00D40378">
            <w:pPr>
              <w:jc w:val="right"/>
              <w:rPr>
                <w:rFonts w:ascii="Roboto Light" w:hAnsi="Roboto Light" w:cs="Arial"/>
                <w:sz w:val="18"/>
                <w:szCs w:val="18"/>
              </w:rPr>
            </w:pPr>
            <w:r>
              <w:rPr>
                <w:rFonts w:ascii="Roboto Light" w:hAnsi="Roboto Light"/>
                <w:sz w:val="18"/>
              </w:rPr>
              <w:t>(1.2)</w:t>
            </w:r>
          </w:p>
        </w:tc>
      </w:tr>
      <w:tr w:rsidR="001461ED" w:rsidRPr="00F77CCF" w14:paraId="619223D7" w14:textId="77777777" w:rsidTr="00D40378">
        <w:trPr>
          <w:trHeight w:val="240"/>
          <w:jc w:val="center"/>
        </w:trPr>
        <w:tc>
          <w:tcPr>
            <w:tcW w:w="3121" w:type="pct"/>
            <w:tcBorders>
              <w:top w:val="nil"/>
              <w:left w:val="nil"/>
              <w:bottom w:val="nil"/>
              <w:right w:val="nil"/>
            </w:tcBorders>
            <w:vAlign w:val="center"/>
            <w:hideMark/>
          </w:tcPr>
          <w:p w14:paraId="5721A6FA" w14:textId="77777777" w:rsidR="001461ED" w:rsidRPr="00F77CCF" w:rsidRDefault="001461ED" w:rsidP="00D40378">
            <w:pPr>
              <w:rPr>
                <w:rFonts w:ascii="Roboto Light" w:hAnsi="Roboto Light" w:cs="Arial"/>
                <w:sz w:val="18"/>
                <w:szCs w:val="18"/>
              </w:rPr>
            </w:pPr>
            <w:r>
              <w:rPr>
                <w:rFonts w:ascii="Roboto Light" w:hAnsi="Roboto Light"/>
                <w:sz w:val="18"/>
              </w:rPr>
              <w:t>Personnel expense</w:t>
            </w:r>
          </w:p>
        </w:tc>
        <w:tc>
          <w:tcPr>
            <w:tcW w:w="756" w:type="pct"/>
            <w:tcBorders>
              <w:top w:val="nil"/>
              <w:left w:val="nil"/>
              <w:bottom w:val="nil"/>
              <w:right w:val="nil"/>
            </w:tcBorders>
            <w:shd w:val="clear" w:color="000000" w:fill="EEECE1"/>
            <w:noWrap/>
            <w:vAlign w:val="center"/>
            <w:hideMark/>
          </w:tcPr>
          <w:p w14:paraId="410F96B8" w14:textId="77777777" w:rsidR="001461ED" w:rsidRPr="00F77CCF" w:rsidRDefault="001461ED" w:rsidP="00D40378">
            <w:pPr>
              <w:jc w:val="right"/>
              <w:rPr>
                <w:rFonts w:ascii="Roboto Light" w:hAnsi="Roboto Light" w:cs="Arial"/>
                <w:sz w:val="18"/>
                <w:szCs w:val="18"/>
              </w:rPr>
            </w:pPr>
            <w:r>
              <w:rPr>
                <w:rFonts w:ascii="Roboto Light" w:hAnsi="Roboto Light"/>
                <w:sz w:val="18"/>
              </w:rPr>
              <w:t>(499,389)</w:t>
            </w:r>
          </w:p>
        </w:tc>
        <w:tc>
          <w:tcPr>
            <w:tcW w:w="756" w:type="pct"/>
            <w:tcBorders>
              <w:top w:val="nil"/>
              <w:left w:val="nil"/>
              <w:bottom w:val="nil"/>
              <w:right w:val="nil"/>
            </w:tcBorders>
            <w:noWrap/>
            <w:vAlign w:val="center"/>
            <w:hideMark/>
          </w:tcPr>
          <w:p w14:paraId="0E15EFC8" w14:textId="77777777" w:rsidR="001461ED" w:rsidRPr="00F77CCF" w:rsidRDefault="001461ED" w:rsidP="00D40378">
            <w:pPr>
              <w:jc w:val="right"/>
              <w:rPr>
                <w:rFonts w:ascii="Roboto Light" w:hAnsi="Roboto Light" w:cs="Arial"/>
                <w:sz w:val="18"/>
                <w:szCs w:val="18"/>
              </w:rPr>
            </w:pPr>
            <w:r>
              <w:rPr>
                <w:rFonts w:ascii="Roboto Light" w:hAnsi="Roboto Light"/>
                <w:sz w:val="18"/>
              </w:rPr>
              <w:t>(469,201)</w:t>
            </w:r>
          </w:p>
        </w:tc>
        <w:tc>
          <w:tcPr>
            <w:tcW w:w="367" w:type="pct"/>
            <w:tcBorders>
              <w:top w:val="nil"/>
              <w:left w:val="nil"/>
              <w:bottom w:val="nil"/>
              <w:right w:val="nil"/>
            </w:tcBorders>
            <w:shd w:val="clear" w:color="000000" w:fill="EEECE1"/>
            <w:noWrap/>
            <w:vAlign w:val="center"/>
            <w:hideMark/>
          </w:tcPr>
          <w:p w14:paraId="7A9C8473" w14:textId="77777777" w:rsidR="001461ED" w:rsidRPr="00F77CCF" w:rsidRDefault="001461ED" w:rsidP="00D40378">
            <w:pPr>
              <w:jc w:val="right"/>
              <w:rPr>
                <w:rFonts w:ascii="Roboto Light" w:hAnsi="Roboto Light" w:cs="Arial"/>
                <w:sz w:val="18"/>
                <w:szCs w:val="18"/>
              </w:rPr>
            </w:pPr>
            <w:r>
              <w:rPr>
                <w:rFonts w:ascii="Roboto Light" w:hAnsi="Roboto Light"/>
                <w:sz w:val="18"/>
              </w:rPr>
              <w:t>6.4</w:t>
            </w:r>
          </w:p>
        </w:tc>
      </w:tr>
      <w:tr w:rsidR="001461ED" w:rsidRPr="00F77CCF" w14:paraId="1A7334E7"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3E75D6E2" w14:textId="77777777" w:rsidR="001461ED" w:rsidRPr="00F77CCF" w:rsidRDefault="001461ED" w:rsidP="00D40378">
            <w:pPr>
              <w:rPr>
                <w:rFonts w:ascii="Roboto Light" w:hAnsi="Roboto Light" w:cs="Arial"/>
                <w:b/>
                <w:bCs/>
                <w:sz w:val="18"/>
                <w:szCs w:val="18"/>
              </w:rPr>
            </w:pPr>
            <w:r>
              <w:rPr>
                <w:rFonts w:ascii="Roboto Light" w:hAnsi="Roboto Light"/>
                <w:b/>
                <w:sz w:val="18"/>
              </w:rPr>
              <w:t>Total operating expenses</w:t>
            </w:r>
          </w:p>
        </w:tc>
        <w:tc>
          <w:tcPr>
            <w:tcW w:w="756" w:type="pct"/>
            <w:tcBorders>
              <w:top w:val="single" w:sz="4" w:space="0" w:color="auto"/>
              <w:left w:val="nil"/>
              <w:bottom w:val="single" w:sz="4" w:space="0" w:color="auto"/>
              <w:right w:val="nil"/>
            </w:tcBorders>
            <w:shd w:val="clear" w:color="000000" w:fill="EEECE1"/>
            <w:noWrap/>
            <w:vAlign w:val="center"/>
            <w:hideMark/>
          </w:tcPr>
          <w:p w14:paraId="49C16588"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(3,836,291)</w:t>
            </w:r>
          </w:p>
        </w:tc>
        <w:tc>
          <w:tcPr>
            <w:tcW w:w="756" w:type="pct"/>
            <w:tcBorders>
              <w:top w:val="single" w:sz="4" w:space="0" w:color="auto"/>
              <w:left w:val="nil"/>
              <w:bottom w:val="single" w:sz="4" w:space="0" w:color="auto"/>
              <w:right w:val="nil"/>
            </w:tcBorders>
            <w:noWrap/>
            <w:vAlign w:val="center"/>
            <w:hideMark/>
          </w:tcPr>
          <w:p w14:paraId="1B60EC8C"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(3,233,080)</w:t>
            </w:r>
          </w:p>
        </w:tc>
        <w:tc>
          <w:tcPr>
            <w:tcW w:w="367" w:type="pct"/>
            <w:tcBorders>
              <w:top w:val="single" w:sz="4" w:space="0" w:color="auto"/>
              <w:left w:val="nil"/>
              <w:bottom w:val="single" w:sz="4" w:space="0" w:color="auto"/>
              <w:right w:val="nil"/>
            </w:tcBorders>
            <w:shd w:val="clear" w:color="000000" w:fill="EEECE1"/>
            <w:noWrap/>
            <w:vAlign w:val="center"/>
            <w:hideMark/>
          </w:tcPr>
          <w:p w14:paraId="705F7E0A"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18.7</w:t>
            </w:r>
          </w:p>
        </w:tc>
      </w:tr>
      <w:tr w:rsidR="001461ED" w:rsidRPr="00F77CCF" w14:paraId="6B2A8AA2" w14:textId="77777777" w:rsidTr="00D40378">
        <w:trPr>
          <w:trHeight w:val="240"/>
          <w:jc w:val="center"/>
        </w:trPr>
        <w:tc>
          <w:tcPr>
            <w:tcW w:w="3121" w:type="pct"/>
            <w:tcBorders>
              <w:top w:val="nil"/>
              <w:left w:val="nil"/>
              <w:bottom w:val="single" w:sz="4" w:space="0" w:color="auto"/>
              <w:right w:val="nil"/>
            </w:tcBorders>
            <w:vAlign w:val="center"/>
            <w:hideMark/>
          </w:tcPr>
          <w:p w14:paraId="50C151B7" w14:textId="77777777" w:rsidR="001461ED" w:rsidRPr="00F77CCF" w:rsidRDefault="001461ED" w:rsidP="00D40378">
            <w:pPr>
              <w:rPr>
                <w:rFonts w:ascii="Roboto Light" w:hAnsi="Roboto Light" w:cs="Arial"/>
                <w:b/>
                <w:bCs/>
                <w:sz w:val="18"/>
                <w:szCs w:val="18"/>
              </w:rPr>
            </w:pPr>
            <w:r>
              <w:rPr>
                <w:rFonts w:ascii="Roboto Light" w:hAnsi="Roboto Light"/>
                <w:b/>
                <w:sz w:val="18"/>
              </w:rPr>
              <w:t>GROSS OPERATING PROFIT (EBITDA)</w:t>
            </w:r>
          </w:p>
        </w:tc>
        <w:tc>
          <w:tcPr>
            <w:tcW w:w="756" w:type="pct"/>
            <w:tcBorders>
              <w:top w:val="nil"/>
              <w:left w:val="nil"/>
              <w:bottom w:val="single" w:sz="4" w:space="0" w:color="auto"/>
              <w:right w:val="nil"/>
            </w:tcBorders>
            <w:shd w:val="clear" w:color="000000" w:fill="EEECE1"/>
            <w:noWrap/>
            <w:vAlign w:val="center"/>
            <w:hideMark/>
          </w:tcPr>
          <w:p w14:paraId="2368C47B"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1,003,480</w:t>
            </w:r>
          </w:p>
        </w:tc>
        <w:tc>
          <w:tcPr>
            <w:tcW w:w="756" w:type="pct"/>
            <w:tcBorders>
              <w:top w:val="nil"/>
              <w:left w:val="nil"/>
              <w:bottom w:val="single" w:sz="4" w:space="0" w:color="auto"/>
              <w:right w:val="nil"/>
            </w:tcBorders>
            <w:noWrap/>
            <w:vAlign w:val="center"/>
            <w:hideMark/>
          </w:tcPr>
          <w:p w14:paraId="054664D9"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923,534</w:t>
            </w:r>
          </w:p>
        </w:tc>
        <w:tc>
          <w:tcPr>
            <w:tcW w:w="367" w:type="pct"/>
            <w:tcBorders>
              <w:top w:val="nil"/>
              <w:left w:val="nil"/>
              <w:bottom w:val="single" w:sz="4" w:space="0" w:color="auto"/>
              <w:right w:val="nil"/>
            </w:tcBorders>
            <w:shd w:val="clear" w:color="000000" w:fill="EEECE1"/>
            <w:noWrap/>
            <w:vAlign w:val="center"/>
            <w:hideMark/>
          </w:tcPr>
          <w:p w14:paraId="78979B37"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8.7</w:t>
            </w:r>
          </w:p>
        </w:tc>
      </w:tr>
      <w:tr w:rsidR="001461ED" w:rsidRPr="00F77CCF" w14:paraId="24B980A8" w14:textId="77777777" w:rsidTr="00D40378">
        <w:trPr>
          <w:trHeight w:val="240"/>
          <w:jc w:val="center"/>
        </w:trPr>
        <w:tc>
          <w:tcPr>
            <w:tcW w:w="3121" w:type="pct"/>
            <w:tcBorders>
              <w:top w:val="nil"/>
              <w:left w:val="nil"/>
              <w:bottom w:val="nil"/>
              <w:right w:val="nil"/>
            </w:tcBorders>
            <w:vAlign w:val="center"/>
            <w:hideMark/>
          </w:tcPr>
          <w:p w14:paraId="5A155A38" w14:textId="77777777" w:rsidR="001461ED" w:rsidRPr="00F77CCF" w:rsidRDefault="001461ED" w:rsidP="00D40378">
            <w:pPr>
              <w:rPr>
                <w:rFonts w:ascii="Roboto Light" w:hAnsi="Roboto Light" w:cs="Arial"/>
                <w:b/>
                <w:bCs/>
                <w:sz w:val="18"/>
                <w:szCs w:val="18"/>
              </w:rPr>
            </w:pPr>
            <w:r>
              <w:rPr>
                <w:rFonts w:ascii="Roboto Light" w:hAnsi="Roboto Light"/>
                <w:b/>
                <w:sz w:val="18"/>
              </w:rPr>
              <w:t>Depreciations, amortisations, provisions and impairment losses</w:t>
            </w:r>
          </w:p>
        </w:tc>
        <w:tc>
          <w:tcPr>
            <w:tcW w:w="756" w:type="pct"/>
            <w:tcBorders>
              <w:top w:val="nil"/>
              <w:left w:val="nil"/>
              <w:bottom w:val="nil"/>
              <w:right w:val="nil"/>
            </w:tcBorders>
            <w:shd w:val="clear" w:color="000000" w:fill="EEECE1"/>
            <w:noWrap/>
            <w:vAlign w:val="center"/>
            <w:hideMark/>
          </w:tcPr>
          <w:p w14:paraId="0032E972"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c>
          <w:tcPr>
            <w:tcW w:w="756" w:type="pct"/>
            <w:tcBorders>
              <w:top w:val="nil"/>
              <w:left w:val="nil"/>
              <w:bottom w:val="nil"/>
              <w:right w:val="nil"/>
            </w:tcBorders>
            <w:noWrap/>
            <w:vAlign w:val="center"/>
            <w:hideMark/>
          </w:tcPr>
          <w:p w14:paraId="3C325863" w14:textId="77777777" w:rsidR="001461ED" w:rsidRPr="00F77CCF" w:rsidRDefault="001461ED" w:rsidP="00D40378">
            <w:pPr>
              <w:jc w:val="right"/>
              <w:rPr>
                <w:rFonts w:ascii="Roboto Light" w:hAnsi="Roboto Light" w:cs="Arial"/>
                <w:sz w:val="18"/>
                <w:szCs w:val="18"/>
              </w:rPr>
            </w:pPr>
          </w:p>
        </w:tc>
        <w:tc>
          <w:tcPr>
            <w:tcW w:w="367" w:type="pct"/>
            <w:tcBorders>
              <w:top w:val="nil"/>
              <w:left w:val="nil"/>
              <w:bottom w:val="nil"/>
              <w:right w:val="nil"/>
            </w:tcBorders>
            <w:shd w:val="clear" w:color="000000" w:fill="EEECE1"/>
            <w:noWrap/>
            <w:vAlign w:val="center"/>
            <w:hideMark/>
          </w:tcPr>
          <w:p w14:paraId="72759A9D"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r>
      <w:tr w:rsidR="001461ED" w:rsidRPr="00F77CCF" w14:paraId="5FEA60BC" w14:textId="77777777" w:rsidTr="00D40378">
        <w:trPr>
          <w:trHeight w:val="240"/>
          <w:jc w:val="center"/>
        </w:trPr>
        <w:tc>
          <w:tcPr>
            <w:tcW w:w="3121" w:type="pct"/>
            <w:tcBorders>
              <w:top w:val="nil"/>
              <w:left w:val="nil"/>
              <w:bottom w:val="nil"/>
              <w:right w:val="nil"/>
            </w:tcBorders>
            <w:vAlign w:val="center"/>
            <w:hideMark/>
          </w:tcPr>
          <w:p w14:paraId="7B897E2D" w14:textId="77777777" w:rsidR="001461ED" w:rsidRPr="00F77CCF" w:rsidRDefault="001461ED" w:rsidP="00D40378">
            <w:pPr>
              <w:rPr>
                <w:rFonts w:ascii="Roboto Light" w:hAnsi="Roboto Light" w:cs="Arial"/>
                <w:sz w:val="18"/>
                <w:szCs w:val="18"/>
              </w:rPr>
            </w:pPr>
            <w:r>
              <w:rPr>
                <w:rFonts w:ascii="Roboto Light" w:hAnsi="Roboto Light"/>
                <w:sz w:val="18"/>
              </w:rPr>
              <w:t xml:space="preserve">Amortisation/Depreciation  </w:t>
            </w:r>
          </w:p>
        </w:tc>
        <w:tc>
          <w:tcPr>
            <w:tcW w:w="756" w:type="pct"/>
            <w:tcBorders>
              <w:top w:val="nil"/>
              <w:left w:val="nil"/>
              <w:bottom w:val="nil"/>
              <w:right w:val="nil"/>
            </w:tcBorders>
            <w:shd w:val="clear" w:color="000000" w:fill="EEECE1"/>
            <w:noWrap/>
            <w:vAlign w:val="center"/>
            <w:hideMark/>
          </w:tcPr>
          <w:p w14:paraId="64BA79AF" w14:textId="77777777" w:rsidR="001461ED" w:rsidRPr="00F77CCF" w:rsidRDefault="001461ED" w:rsidP="00D40378">
            <w:pPr>
              <w:jc w:val="right"/>
              <w:rPr>
                <w:rFonts w:ascii="Roboto Light" w:hAnsi="Roboto Light" w:cs="Arial"/>
                <w:sz w:val="18"/>
                <w:szCs w:val="18"/>
              </w:rPr>
            </w:pPr>
            <w:r>
              <w:rPr>
                <w:rFonts w:ascii="Roboto Light" w:hAnsi="Roboto Light"/>
                <w:sz w:val="18"/>
              </w:rPr>
              <w:t>(528,236)</w:t>
            </w:r>
          </w:p>
        </w:tc>
        <w:tc>
          <w:tcPr>
            <w:tcW w:w="756" w:type="pct"/>
            <w:tcBorders>
              <w:top w:val="nil"/>
              <w:left w:val="nil"/>
              <w:bottom w:val="nil"/>
              <w:right w:val="nil"/>
            </w:tcBorders>
            <w:noWrap/>
            <w:vAlign w:val="center"/>
            <w:hideMark/>
          </w:tcPr>
          <w:p w14:paraId="60DB19CC" w14:textId="77777777" w:rsidR="001461ED" w:rsidRPr="00F77CCF" w:rsidRDefault="001461ED" w:rsidP="00D40378">
            <w:pPr>
              <w:jc w:val="right"/>
              <w:rPr>
                <w:rFonts w:ascii="Roboto Light" w:hAnsi="Roboto Light" w:cs="Arial"/>
                <w:sz w:val="18"/>
                <w:szCs w:val="18"/>
              </w:rPr>
            </w:pPr>
            <w:r>
              <w:rPr>
                <w:rFonts w:ascii="Roboto Light" w:hAnsi="Roboto Light"/>
                <w:sz w:val="18"/>
              </w:rPr>
              <w:t>(483,271)</w:t>
            </w:r>
          </w:p>
        </w:tc>
        <w:tc>
          <w:tcPr>
            <w:tcW w:w="367" w:type="pct"/>
            <w:tcBorders>
              <w:top w:val="nil"/>
              <w:left w:val="nil"/>
              <w:bottom w:val="nil"/>
              <w:right w:val="nil"/>
            </w:tcBorders>
            <w:shd w:val="clear" w:color="000000" w:fill="EEECE1"/>
            <w:noWrap/>
            <w:vAlign w:val="center"/>
            <w:hideMark/>
          </w:tcPr>
          <w:p w14:paraId="50797E2D" w14:textId="77777777" w:rsidR="001461ED" w:rsidRPr="00F77CCF" w:rsidRDefault="001461ED" w:rsidP="00D40378">
            <w:pPr>
              <w:jc w:val="right"/>
              <w:rPr>
                <w:rFonts w:ascii="Roboto Light" w:hAnsi="Roboto Light" w:cs="Arial"/>
                <w:sz w:val="18"/>
                <w:szCs w:val="18"/>
              </w:rPr>
            </w:pPr>
            <w:r>
              <w:rPr>
                <w:rFonts w:ascii="Roboto Light" w:hAnsi="Roboto Light"/>
                <w:sz w:val="18"/>
              </w:rPr>
              <w:t>9.3</w:t>
            </w:r>
          </w:p>
        </w:tc>
      </w:tr>
      <w:tr w:rsidR="001461ED" w:rsidRPr="00F77CCF" w14:paraId="18B54A44" w14:textId="77777777" w:rsidTr="00D40378">
        <w:trPr>
          <w:trHeight w:val="240"/>
          <w:jc w:val="center"/>
        </w:trPr>
        <w:tc>
          <w:tcPr>
            <w:tcW w:w="3121" w:type="pct"/>
            <w:tcBorders>
              <w:top w:val="nil"/>
              <w:left w:val="nil"/>
              <w:bottom w:val="nil"/>
              <w:right w:val="nil"/>
            </w:tcBorders>
            <w:vAlign w:val="center"/>
            <w:hideMark/>
          </w:tcPr>
          <w:p w14:paraId="3D8DE4B6" w14:textId="77777777" w:rsidR="001461ED" w:rsidRPr="00F77CCF" w:rsidRDefault="001461ED" w:rsidP="00D40378">
            <w:pPr>
              <w:rPr>
                <w:rFonts w:ascii="Roboto Light" w:hAnsi="Roboto Light" w:cs="Arial"/>
                <w:sz w:val="18"/>
                <w:szCs w:val="18"/>
              </w:rPr>
            </w:pPr>
            <w:r>
              <w:rPr>
                <w:rFonts w:ascii="Roboto Light" w:hAnsi="Roboto Light"/>
                <w:sz w:val="18"/>
              </w:rPr>
              <w:t>Provisions for doubtful accounts</w:t>
            </w:r>
          </w:p>
        </w:tc>
        <w:tc>
          <w:tcPr>
            <w:tcW w:w="756" w:type="pct"/>
            <w:tcBorders>
              <w:top w:val="nil"/>
              <w:left w:val="nil"/>
              <w:bottom w:val="nil"/>
              <w:right w:val="nil"/>
            </w:tcBorders>
            <w:shd w:val="clear" w:color="000000" w:fill="EEECE1"/>
            <w:noWrap/>
            <w:vAlign w:val="center"/>
            <w:hideMark/>
          </w:tcPr>
          <w:p w14:paraId="078C00D9" w14:textId="77777777" w:rsidR="001461ED" w:rsidRPr="00F77CCF" w:rsidRDefault="001461ED" w:rsidP="00D40378">
            <w:pPr>
              <w:jc w:val="right"/>
              <w:rPr>
                <w:rFonts w:ascii="Roboto Light" w:hAnsi="Roboto Light" w:cs="Arial"/>
                <w:sz w:val="18"/>
                <w:szCs w:val="18"/>
              </w:rPr>
            </w:pPr>
            <w:r>
              <w:rPr>
                <w:rFonts w:ascii="Roboto Light" w:hAnsi="Roboto Light"/>
                <w:sz w:val="18"/>
              </w:rPr>
              <w:t>(65,071)</w:t>
            </w:r>
          </w:p>
        </w:tc>
        <w:tc>
          <w:tcPr>
            <w:tcW w:w="756" w:type="pct"/>
            <w:tcBorders>
              <w:top w:val="nil"/>
              <w:left w:val="nil"/>
              <w:bottom w:val="nil"/>
              <w:right w:val="nil"/>
            </w:tcBorders>
            <w:noWrap/>
            <w:vAlign w:val="center"/>
            <w:hideMark/>
          </w:tcPr>
          <w:p w14:paraId="2109396F" w14:textId="77777777" w:rsidR="001461ED" w:rsidRPr="00F77CCF" w:rsidRDefault="001461ED" w:rsidP="00D40378">
            <w:pPr>
              <w:jc w:val="right"/>
              <w:rPr>
                <w:rFonts w:ascii="Roboto Light" w:hAnsi="Roboto Light" w:cs="Arial"/>
                <w:sz w:val="18"/>
                <w:szCs w:val="18"/>
              </w:rPr>
            </w:pPr>
            <w:r>
              <w:rPr>
                <w:rFonts w:ascii="Roboto Light" w:hAnsi="Roboto Light"/>
                <w:sz w:val="18"/>
              </w:rPr>
              <w:t>(56,073)</w:t>
            </w:r>
          </w:p>
        </w:tc>
        <w:tc>
          <w:tcPr>
            <w:tcW w:w="367" w:type="pct"/>
            <w:tcBorders>
              <w:top w:val="nil"/>
              <w:left w:val="nil"/>
              <w:bottom w:val="nil"/>
              <w:right w:val="nil"/>
            </w:tcBorders>
            <w:shd w:val="clear" w:color="000000" w:fill="EEECE1"/>
            <w:noWrap/>
            <w:vAlign w:val="center"/>
            <w:hideMark/>
          </w:tcPr>
          <w:p w14:paraId="79ED1E6E" w14:textId="77777777" w:rsidR="001461ED" w:rsidRPr="00F77CCF" w:rsidRDefault="001461ED" w:rsidP="00D40378">
            <w:pPr>
              <w:jc w:val="right"/>
              <w:rPr>
                <w:rFonts w:ascii="Roboto Light" w:hAnsi="Roboto Light" w:cs="Arial"/>
                <w:sz w:val="18"/>
                <w:szCs w:val="18"/>
              </w:rPr>
            </w:pPr>
            <w:r>
              <w:rPr>
                <w:rFonts w:ascii="Roboto Light" w:hAnsi="Roboto Light"/>
                <w:sz w:val="18"/>
              </w:rPr>
              <w:t>16.0</w:t>
            </w:r>
          </w:p>
        </w:tc>
      </w:tr>
      <w:tr w:rsidR="001461ED" w:rsidRPr="00F77CCF" w14:paraId="790A2283" w14:textId="77777777" w:rsidTr="00D40378">
        <w:trPr>
          <w:trHeight w:val="240"/>
          <w:jc w:val="center"/>
        </w:trPr>
        <w:tc>
          <w:tcPr>
            <w:tcW w:w="3121" w:type="pct"/>
            <w:tcBorders>
              <w:top w:val="nil"/>
              <w:left w:val="nil"/>
              <w:bottom w:val="nil"/>
              <w:right w:val="nil"/>
            </w:tcBorders>
            <w:vAlign w:val="center"/>
            <w:hideMark/>
          </w:tcPr>
          <w:p w14:paraId="7DEEC02E" w14:textId="77777777" w:rsidR="001461ED" w:rsidRPr="00F77CCF" w:rsidRDefault="001461ED" w:rsidP="00D40378">
            <w:pPr>
              <w:rPr>
                <w:rFonts w:ascii="Roboto Light" w:hAnsi="Roboto Light" w:cs="Arial"/>
                <w:sz w:val="18"/>
                <w:szCs w:val="18"/>
              </w:rPr>
            </w:pPr>
            <w:r>
              <w:rPr>
                <w:rFonts w:ascii="Roboto Light" w:hAnsi="Roboto Light"/>
                <w:sz w:val="18"/>
              </w:rPr>
              <w:t>Other provisions and impairment losses</w:t>
            </w:r>
          </w:p>
        </w:tc>
        <w:tc>
          <w:tcPr>
            <w:tcW w:w="756" w:type="pct"/>
            <w:tcBorders>
              <w:top w:val="nil"/>
              <w:left w:val="nil"/>
              <w:bottom w:val="nil"/>
              <w:right w:val="nil"/>
            </w:tcBorders>
            <w:shd w:val="clear" w:color="000000" w:fill="EEECE1"/>
            <w:noWrap/>
            <w:vAlign w:val="center"/>
            <w:hideMark/>
          </w:tcPr>
          <w:p w14:paraId="4B4FAEBA" w14:textId="77777777" w:rsidR="001461ED" w:rsidRPr="00F77CCF" w:rsidRDefault="001461ED" w:rsidP="00D40378">
            <w:pPr>
              <w:jc w:val="right"/>
              <w:rPr>
                <w:rFonts w:ascii="Roboto Light" w:hAnsi="Roboto Light" w:cs="Arial"/>
                <w:sz w:val="18"/>
                <w:szCs w:val="18"/>
              </w:rPr>
            </w:pPr>
            <w:r>
              <w:rPr>
                <w:rFonts w:ascii="Roboto Light" w:hAnsi="Roboto Light"/>
                <w:sz w:val="18"/>
              </w:rPr>
              <w:t>(8,710)</w:t>
            </w:r>
          </w:p>
        </w:tc>
        <w:tc>
          <w:tcPr>
            <w:tcW w:w="756" w:type="pct"/>
            <w:tcBorders>
              <w:top w:val="nil"/>
              <w:left w:val="nil"/>
              <w:bottom w:val="nil"/>
              <w:right w:val="nil"/>
            </w:tcBorders>
            <w:noWrap/>
            <w:vAlign w:val="center"/>
            <w:hideMark/>
          </w:tcPr>
          <w:p w14:paraId="4AEF05E3" w14:textId="77777777" w:rsidR="001461ED" w:rsidRPr="00F77CCF" w:rsidRDefault="001461ED" w:rsidP="00D40378">
            <w:pPr>
              <w:jc w:val="right"/>
              <w:rPr>
                <w:rFonts w:ascii="Roboto Light" w:hAnsi="Roboto Light" w:cs="Arial"/>
                <w:sz w:val="18"/>
                <w:szCs w:val="18"/>
              </w:rPr>
            </w:pPr>
            <w:r>
              <w:rPr>
                <w:rFonts w:ascii="Roboto Light" w:hAnsi="Roboto Light"/>
                <w:sz w:val="18"/>
              </w:rPr>
              <w:t>(7,600)</w:t>
            </w:r>
          </w:p>
        </w:tc>
        <w:tc>
          <w:tcPr>
            <w:tcW w:w="367" w:type="pct"/>
            <w:tcBorders>
              <w:top w:val="nil"/>
              <w:left w:val="nil"/>
              <w:bottom w:val="nil"/>
              <w:right w:val="nil"/>
            </w:tcBorders>
            <w:shd w:val="clear" w:color="000000" w:fill="EEECE1"/>
            <w:noWrap/>
            <w:vAlign w:val="center"/>
            <w:hideMark/>
          </w:tcPr>
          <w:p w14:paraId="4EC1BA05" w14:textId="77777777" w:rsidR="001461ED" w:rsidRPr="00F77CCF" w:rsidRDefault="001461ED" w:rsidP="00D40378">
            <w:pPr>
              <w:jc w:val="right"/>
              <w:rPr>
                <w:rFonts w:ascii="Roboto Light" w:hAnsi="Roboto Light" w:cs="Arial"/>
                <w:sz w:val="18"/>
                <w:szCs w:val="18"/>
              </w:rPr>
            </w:pPr>
            <w:r>
              <w:rPr>
                <w:rFonts w:ascii="Roboto Light" w:hAnsi="Roboto Light"/>
                <w:sz w:val="18"/>
              </w:rPr>
              <w:t>14.6</w:t>
            </w:r>
          </w:p>
        </w:tc>
      </w:tr>
      <w:tr w:rsidR="001461ED" w:rsidRPr="00F77CCF" w14:paraId="3749DD07"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14DAED7C" w14:textId="77777777" w:rsidR="001461ED" w:rsidRPr="00F77CCF" w:rsidRDefault="001461ED" w:rsidP="00D40378">
            <w:pPr>
              <w:rPr>
                <w:rFonts w:ascii="Roboto Light" w:hAnsi="Roboto Light" w:cs="Arial"/>
                <w:b/>
                <w:bCs/>
                <w:sz w:val="18"/>
                <w:szCs w:val="18"/>
              </w:rPr>
            </w:pPr>
            <w:r>
              <w:rPr>
                <w:rFonts w:ascii="Roboto Light" w:hAnsi="Roboto Light"/>
                <w:b/>
                <w:sz w:val="18"/>
              </w:rPr>
              <w:t>Total depreciations, amortisations, provisions and impairment losses</w:t>
            </w:r>
          </w:p>
        </w:tc>
        <w:tc>
          <w:tcPr>
            <w:tcW w:w="756" w:type="pct"/>
            <w:tcBorders>
              <w:top w:val="single" w:sz="4" w:space="0" w:color="auto"/>
              <w:left w:val="nil"/>
              <w:bottom w:val="single" w:sz="4" w:space="0" w:color="auto"/>
              <w:right w:val="nil"/>
            </w:tcBorders>
            <w:shd w:val="clear" w:color="000000" w:fill="EEECE1"/>
            <w:noWrap/>
            <w:vAlign w:val="center"/>
            <w:hideMark/>
          </w:tcPr>
          <w:p w14:paraId="2DD5651F"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(602,017)</w:t>
            </w:r>
          </w:p>
        </w:tc>
        <w:tc>
          <w:tcPr>
            <w:tcW w:w="756" w:type="pct"/>
            <w:tcBorders>
              <w:top w:val="single" w:sz="4" w:space="0" w:color="auto"/>
              <w:left w:val="nil"/>
              <w:bottom w:val="single" w:sz="4" w:space="0" w:color="auto"/>
              <w:right w:val="nil"/>
            </w:tcBorders>
            <w:noWrap/>
            <w:vAlign w:val="center"/>
            <w:hideMark/>
          </w:tcPr>
          <w:p w14:paraId="6E951D24"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(546,944)</w:t>
            </w:r>
          </w:p>
        </w:tc>
        <w:tc>
          <w:tcPr>
            <w:tcW w:w="367" w:type="pct"/>
            <w:tcBorders>
              <w:top w:val="single" w:sz="4" w:space="0" w:color="auto"/>
              <w:left w:val="nil"/>
              <w:bottom w:val="single" w:sz="4" w:space="0" w:color="auto"/>
              <w:right w:val="nil"/>
            </w:tcBorders>
            <w:shd w:val="clear" w:color="000000" w:fill="EEECE1"/>
            <w:noWrap/>
            <w:vAlign w:val="center"/>
            <w:hideMark/>
          </w:tcPr>
          <w:p w14:paraId="698BE7D6"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10.1</w:t>
            </w:r>
          </w:p>
        </w:tc>
      </w:tr>
      <w:tr w:rsidR="001461ED" w:rsidRPr="00F77CCF" w14:paraId="46ED82E6" w14:textId="77777777" w:rsidTr="00D40378">
        <w:trPr>
          <w:trHeight w:val="240"/>
          <w:jc w:val="center"/>
        </w:trPr>
        <w:tc>
          <w:tcPr>
            <w:tcW w:w="3121" w:type="pct"/>
            <w:tcBorders>
              <w:top w:val="nil"/>
              <w:left w:val="nil"/>
              <w:bottom w:val="single" w:sz="4" w:space="0" w:color="auto"/>
              <w:right w:val="nil"/>
            </w:tcBorders>
            <w:vAlign w:val="center"/>
            <w:hideMark/>
          </w:tcPr>
          <w:p w14:paraId="27B118AE" w14:textId="77777777" w:rsidR="001461ED" w:rsidRPr="00F77CCF" w:rsidRDefault="001461ED" w:rsidP="00D40378">
            <w:pPr>
              <w:rPr>
                <w:rFonts w:ascii="Roboto Light" w:hAnsi="Roboto Light" w:cs="Arial"/>
                <w:b/>
                <w:bCs/>
                <w:sz w:val="18"/>
                <w:szCs w:val="18"/>
              </w:rPr>
            </w:pPr>
            <w:r>
              <w:rPr>
                <w:rFonts w:ascii="Roboto Light" w:hAnsi="Roboto Light"/>
                <w:b/>
                <w:sz w:val="18"/>
              </w:rPr>
              <w:t>OPERATING RESULT</w:t>
            </w:r>
          </w:p>
        </w:tc>
        <w:tc>
          <w:tcPr>
            <w:tcW w:w="756" w:type="pct"/>
            <w:tcBorders>
              <w:top w:val="nil"/>
              <w:left w:val="nil"/>
              <w:bottom w:val="single" w:sz="4" w:space="0" w:color="auto"/>
              <w:right w:val="nil"/>
            </w:tcBorders>
            <w:shd w:val="clear" w:color="000000" w:fill="EEECE1"/>
            <w:noWrap/>
            <w:vAlign w:val="center"/>
            <w:hideMark/>
          </w:tcPr>
          <w:p w14:paraId="500C9B75"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401,463</w:t>
            </w:r>
          </w:p>
        </w:tc>
        <w:tc>
          <w:tcPr>
            <w:tcW w:w="756" w:type="pct"/>
            <w:tcBorders>
              <w:top w:val="nil"/>
              <w:left w:val="nil"/>
              <w:bottom w:val="single" w:sz="4" w:space="0" w:color="auto"/>
              <w:right w:val="nil"/>
            </w:tcBorders>
            <w:noWrap/>
            <w:vAlign w:val="center"/>
            <w:hideMark/>
          </w:tcPr>
          <w:p w14:paraId="0EB4C5F4"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376,590</w:t>
            </w:r>
          </w:p>
        </w:tc>
        <w:tc>
          <w:tcPr>
            <w:tcW w:w="367" w:type="pct"/>
            <w:tcBorders>
              <w:top w:val="nil"/>
              <w:left w:val="nil"/>
              <w:bottom w:val="single" w:sz="4" w:space="0" w:color="auto"/>
              <w:right w:val="nil"/>
            </w:tcBorders>
            <w:shd w:val="clear" w:color="000000" w:fill="EEECE1"/>
            <w:noWrap/>
            <w:vAlign w:val="center"/>
            <w:hideMark/>
          </w:tcPr>
          <w:p w14:paraId="481ACB13"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6.6</w:t>
            </w:r>
          </w:p>
        </w:tc>
      </w:tr>
      <w:tr w:rsidR="001461ED" w:rsidRPr="00F77CCF" w14:paraId="3753A37B" w14:textId="77777777" w:rsidTr="00D40378">
        <w:trPr>
          <w:trHeight w:val="240"/>
          <w:jc w:val="center"/>
        </w:trPr>
        <w:tc>
          <w:tcPr>
            <w:tcW w:w="3121" w:type="pct"/>
            <w:tcBorders>
              <w:top w:val="nil"/>
              <w:left w:val="nil"/>
              <w:bottom w:val="nil"/>
              <w:right w:val="nil"/>
            </w:tcBorders>
            <w:vAlign w:val="center"/>
            <w:hideMark/>
          </w:tcPr>
          <w:p w14:paraId="20C39A15" w14:textId="77777777" w:rsidR="001461ED" w:rsidRPr="00F77CCF" w:rsidRDefault="001461ED" w:rsidP="00D40378">
            <w:pPr>
              <w:rPr>
                <w:rFonts w:ascii="Roboto Light" w:hAnsi="Roboto Light" w:cs="Arial"/>
                <w:b/>
                <w:bCs/>
                <w:sz w:val="18"/>
                <w:szCs w:val="18"/>
              </w:rPr>
            </w:pPr>
            <w:r>
              <w:rPr>
                <w:rFonts w:ascii="Roboto Light" w:hAnsi="Roboto Light"/>
                <w:b/>
                <w:sz w:val="18"/>
              </w:rPr>
              <w:t>Financial management</w:t>
            </w:r>
          </w:p>
        </w:tc>
        <w:tc>
          <w:tcPr>
            <w:tcW w:w="756" w:type="pct"/>
            <w:tcBorders>
              <w:top w:val="nil"/>
              <w:left w:val="nil"/>
              <w:bottom w:val="nil"/>
              <w:right w:val="nil"/>
            </w:tcBorders>
            <w:shd w:val="clear" w:color="000000" w:fill="EEECE1"/>
            <w:noWrap/>
            <w:vAlign w:val="center"/>
            <w:hideMark/>
          </w:tcPr>
          <w:p w14:paraId="0AFADA05"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c>
          <w:tcPr>
            <w:tcW w:w="756" w:type="pct"/>
            <w:tcBorders>
              <w:top w:val="nil"/>
              <w:left w:val="nil"/>
              <w:bottom w:val="nil"/>
              <w:right w:val="nil"/>
            </w:tcBorders>
            <w:noWrap/>
            <w:vAlign w:val="center"/>
            <w:hideMark/>
          </w:tcPr>
          <w:p w14:paraId="548AA2BE" w14:textId="77777777" w:rsidR="001461ED" w:rsidRPr="00F77CCF" w:rsidRDefault="001461ED" w:rsidP="00D40378">
            <w:pPr>
              <w:jc w:val="right"/>
              <w:rPr>
                <w:rFonts w:ascii="Roboto Light" w:hAnsi="Roboto Light" w:cs="Arial"/>
                <w:sz w:val="18"/>
                <w:szCs w:val="18"/>
              </w:rPr>
            </w:pPr>
          </w:p>
        </w:tc>
        <w:tc>
          <w:tcPr>
            <w:tcW w:w="367" w:type="pct"/>
            <w:tcBorders>
              <w:top w:val="nil"/>
              <w:left w:val="nil"/>
              <w:bottom w:val="nil"/>
              <w:right w:val="nil"/>
            </w:tcBorders>
            <w:shd w:val="clear" w:color="000000" w:fill="EEECE1"/>
            <w:noWrap/>
            <w:vAlign w:val="center"/>
            <w:hideMark/>
          </w:tcPr>
          <w:p w14:paraId="65924450"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r>
      <w:tr w:rsidR="001461ED" w:rsidRPr="00F77CCF" w14:paraId="42BCEA2C" w14:textId="77777777" w:rsidTr="00D40378">
        <w:trPr>
          <w:trHeight w:val="240"/>
          <w:jc w:val="center"/>
        </w:trPr>
        <w:tc>
          <w:tcPr>
            <w:tcW w:w="3121" w:type="pct"/>
            <w:tcBorders>
              <w:top w:val="nil"/>
              <w:left w:val="nil"/>
              <w:bottom w:val="nil"/>
              <w:right w:val="nil"/>
            </w:tcBorders>
            <w:vAlign w:val="center"/>
            <w:hideMark/>
          </w:tcPr>
          <w:p w14:paraId="1EB3672C" w14:textId="77777777" w:rsidR="001461ED" w:rsidRPr="00F77CCF" w:rsidRDefault="001461ED" w:rsidP="00D40378">
            <w:pPr>
              <w:rPr>
                <w:rFonts w:ascii="Roboto Light" w:hAnsi="Roboto Light" w:cs="Arial"/>
                <w:sz w:val="18"/>
                <w:szCs w:val="18"/>
              </w:rPr>
            </w:pPr>
            <w:r>
              <w:rPr>
                <w:rFonts w:ascii="Roboto Light" w:hAnsi="Roboto Light"/>
                <w:sz w:val="18"/>
              </w:rPr>
              <w:t>Financial income</w:t>
            </w:r>
          </w:p>
        </w:tc>
        <w:tc>
          <w:tcPr>
            <w:tcW w:w="756" w:type="pct"/>
            <w:tcBorders>
              <w:top w:val="nil"/>
              <w:left w:val="nil"/>
              <w:bottom w:val="nil"/>
              <w:right w:val="nil"/>
            </w:tcBorders>
            <w:shd w:val="clear" w:color="000000" w:fill="EEECE1"/>
            <w:noWrap/>
            <w:vAlign w:val="center"/>
            <w:hideMark/>
          </w:tcPr>
          <w:p w14:paraId="6389D361" w14:textId="77777777" w:rsidR="001461ED" w:rsidRPr="00F77CCF" w:rsidRDefault="001461ED" w:rsidP="00D40378">
            <w:pPr>
              <w:jc w:val="right"/>
              <w:rPr>
                <w:rFonts w:ascii="Roboto Light" w:hAnsi="Roboto Light" w:cs="Arial"/>
                <w:sz w:val="18"/>
                <w:szCs w:val="18"/>
              </w:rPr>
            </w:pPr>
            <w:r>
              <w:rPr>
                <w:rFonts w:ascii="Roboto Light" w:hAnsi="Roboto Light"/>
                <w:sz w:val="18"/>
              </w:rPr>
              <w:t>26,514</w:t>
            </w:r>
          </w:p>
        </w:tc>
        <w:tc>
          <w:tcPr>
            <w:tcW w:w="756" w:type="pct"/>
            <w:tcBorders>
              <w:top w:val="nil"/>
              <w:left w:val="nil"/>
              <w:bottom w:val="nil"/>
              <w:right w:val="nil"/>
            </w:tcBorders>
            <w:noWrap/>
            <w:vAlign w:val="center"/>
            <w:hideMark/>
          </w:tcPr>
          <w:p w14:paraId="397F2C9F" w14:textId="77777777" w:rsidR="001461ED" w:rsidRPr="00F77CCF" w:rsidRDefault="001461ED" w:rsidP="00D40378">
            <w:pPr>
              <w:jc w:val="right"/>
              <w:rPr>
                <w:rFonts w:ascii="Roboto Light" w:hAnsi="Roboto Light" w:cs="Arial"/>
                <w:sz w:val="18"/>
                <w:szCs w:val="18"/>
              </w:rPr>
            </w:pPr>
            <w:r>
              <w:rPr>
                <w:rFonts w:ascii="Roboto Light" w:hAnsi="Roboto Light"/>
                <w:sz w:val="18"/>
              </w:rPr>
              <w:t>34,148</w:t>
            </w:r>
          </w:p>
        </w:tc>
        <w:tc>
          <w:tcPr>
            <w:tcW w:w="367" w:type="pct"/>
            <w:tcBorders>
              <w:top w:val="nil"/>
              <w:left w:val="nil"/>
              <w:bottom w:val="nil"/>
              <w:right w:val="nil"/>
            </w:tcBorders>
            <w:shd w:val="clear" w:color="000000" w:fill="EEECE1"/>
            <w:noWrap/>
            <w:vAlign w:val="center"/>
            <w:hideMark/>
          </w:tcPr>
          <w:p w14:paraId="5EDF9751" w14:textId="77777777" w:rsidR="001461ED" w:rsidRPr="00F77CCF" w:rsidRDefault="001461ED" w:rsidP="00D40378">
            <w:pPr>
              <w:jc w:val="right"/>
              <w:rPr>
                <w:rFonts w:ascii="Roboto Light" w:hAnsi="Roboto Light" w:cs="Arial"/>
                <w:sz w:val="18"/>
                <w:szCs w:val="18"/>
              </w:rPr>
            </w:pPr>
            <w:r>
              <w:rPr>
                <w:rFonts w:ascii="Roboto Light" w:hAnsi="Roboto Light"/>
                <w:sz w:val="18"/>
              </w:rPr>
              <w:t>(22.4)</w:t>
            </w:r>
          </w:p>
        </w:tc>
      </w:tr>
      <w:tr w:rsidR="001461ED" w:rsidRPr="00F77CCF" w14:paraId="2EB29299" w14:textId="77777777" w:rsidTr="00D40378">
        <w:trPr>
          <w:trHeight w:val="240"/>
          <w:jc w:val="center"/>
        </w:trPr>
        <w:tc>
          <w:tcPr>
            <w:tcW w:w="3121" w:type="pct"/>
            <w:tcBorders>
              <w:top w:val="nil"/>
              <w:left w:val="nil"/>
              <w:bottom w:val="nil"/>
              <w:right w:val="nil"/>
            </w:tcBorders>
            <w:vAlign w:val="center"/>
            <w:hideMark/>
          </w:tcPr>
          <w:p w14:paraId="64707B77" w14:textId="77777777" w:rsidR="001461ED" w:rsidRPr="00F77CCF" w:rsidRDefault="001461ED" w:rsidP="00D40378">
            <w:pPr>
              <w:rPr>
                <w:rFonts w:ascii="Roboto Light" w:hAnsi="Roboto Light" w:cs="Arial"/>
                <w:sz w:val="18"/>
                <w:szCs w:val="18"/>
              </w:rPr>
            </w:pPr>
            <w:r>
              <w:rPr>
                <w:rFonts w:ascii="Roboto Light" w:hAnsi="Roboto Light"/>
                <w:sz w:val="18"/>
              </w:rPr>
              <w:t>Financial expense</w:t>
            </w:r>
          </w:p>
        </w:tc>
        <w:tc>
          <w:tcPr>
            <w:tcW w:w="756" w:type="pct"/>
            <w:tcBorders>
              <w:top w:val="nil"/>
              <w:left w:val="nil"/>
              <w:bottom w:val="nil"/>
              <w:right w:val="nil"/>
            </w:tcBorders>
            <w:shd w:val="clear" w:color="000000" w:fill="EEECE1"/>
            <w:noWrap/>
            <w:vAlign w:val="center"/>
            <w:hideMark/>
          </w:tcPr>
          <w:p w14:paraId="4A3D6A22" w14:textId="77777777" w:rsidR="001461ED" w:rsidRPr="00F77CCF" w:rsidRDefault="001461ED" w:rsidP="00D40378">
            <w:pPr>
              <w:jc w:val="right"/>
              <w:rPr>
                <w:rFonts w:ascii="Roboto Light" w:hAnsi="Roboto Light" w:cs="Arial"/>
                <w:sz w:val="18"/>
                <w:szCs w:val="18"/>
              </w:rPr>
            </w:pPr>
            <w:r>
              <w:rPr>
                <w:rFonts w:ascii="Roboto Light" w:hAnsi="Roboto Light"/>
                <w:sz w:val="18"/>
              </w:rPr>
              <w:t>(118,388)</w:t>
            </w:r>
          </w:p>
        </w:tc>
        <w:tc>
          <w:tcPr>
            <w:tcW w:w="756" w:type="pct"/>
            <w:tcBorders>
              <w:top w:val="nil"/>
              <w:left w:val="nil"/>
              <w:bottom w:val="nil"/>
              <w:right w:val="nil"/>
            </w:tcBorders>
            <w:noWrap/>
            <w:vAlign w:val="center"/>
            <w:hideMark/>
          </w:tcPr>
          <w:p w14:paraId="311D7564" w14:textId="77777777" w:rsidR="001461ED" w:rsidRPr="00F77CCF" w:rsidRDefault="001461ED" w:rsidP="00D40378">
            <w:pPr>
              <w:jc w:val="right"/>
              <w:rPr>
                <w:rFonts w:ascii="Roboto Light" w:hAnsi="Roboto Light" w:cs="Arial"/>
                <w:sz w:val="18"/>
                <w:szCs w:val="18"/>
              </w:rPr>
            </w:pPr>
            <w:r>
              <w:rPr>
                <w:rFonts w:ascii="Roboto Light" w:hAnsi="Roboto Light"/>
                <w:sz w:val="18"/>
              </w:rPr>
              <w:t>(100,747)</w:t>
            </w:r>
          </w:p>
        </w:tc>
        <w:tc>
          <w:tcPr>
            <w:tcW w:w="367" w:type="pct"/>
            <w:tcBorders>
              <w:top w:val="nil"/>
              <w:left w:val="nil"/>
              <w:bottom w:val="nil"/>
              <w:right w:val="nil"/>
            </w:tcBorders>
            <w:shd w:val="clear" w:color="000000" w:fill="EEECE1"/>
            <w:noWrap/>
            <w:vAlign w:val="center"/>
            <w:hideMark/>
          </w:tcPr>
          <w:p w14:paraId="522D4B67" w14:textId="77777777" w:rsidR="001461ED" w:rsidRPr="00F77CCF" w:rsidRDefault="001461ED" w:rsidP="00D40378">
            <w:pPr>
              <w:jc w:val="right"/>
              <w:rPr>
                <w:rFonts w:ascii="Roboto Light" w:hAnsi="Roboto Light" w:cs="Arial"/>
                <w:sz w:val="18"/>
                <w:szCs w:val="18"/>
              </w:rPr>
            </w:pPr>
            <w:r>
              <w:rPr>
                <w:rFonts w:ascii="Roboto Light" w:hAnsi="Roboto Light"/>
                <w:sz w:val="18"/>
              </w:rPr>
              <w:t>17.5</w:t>
            </w:r>
          </w:p>
        </w:tc>
      </w:tr>
      <w:tr w:rsidR="001461ED" w:rsidRPr="00F77CCF" w14:paraId="1AB0A333"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13AECBCE" w14:textId="77777777" w:rsidR="001461ED" w:rsidRPr="00F77CCF" w:rsidRDefault="001461ED" w:rsidP="00D40378">
            <w:pPr>
              <w:rPr>
                <w:rFonts w:ascii="Roboto Light" w:hAnsi="Roboto Light" w:cs="Arial"/>
                <w:b/>
                <w:bCs/>
                <w:sz w:val="18"/>
                <w:szCs w:val="18"/>
              </w:rPr>
            </w:pPr>
            <w:r>
              <w:rPr>
                <w:rFonts w:ascii="Roboto Light" w:hAnsi="Roboto Light"/>
                <w:b/>
                <w:sz w:val="18"/>
              </w:rPr>
              <w:t>Net financial expense</w:t>
            </w:r>
          </w:p>
        </w:tc>
        <w:tc>
          <w:tcPr>
            <w:tcW w:w="756" w:type="pct"/>
            <w:tcBorders>
              <w:top w:val="single" w:sz="4" w:space="0" w:color="auto"/>
              <w:left w:val="nil"/>
              <w:bottom w:val="single" w:sz="4" w:space="0" w:color="auto"/>
              <w:right w:val="nil"/>
            </w:tcBorders>
            <w:shd w:val="clear" w:color="000000" w:fill="EEECE1"/>
            <w:noWrap/>
            <w:vAlign w:val="center"/>
            <w:hideMark/>
          </w:tcPr>
          <w:p w14:paraId="33CD579B"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(91,874)</w:t>
            </w:r>
          </w:p>
        </w:tc>
        <w:tc>
          <w:tcPr>
            <w:tcW w:w="756" w:type="pct"/>
            <w:tcBorders>
              <w:top w:val="single" w:sz="4" w:space="0" w:color="auto"/>
              <w:left w:val="nil"/>
              <w:bottom w:val="single" w:sz="4" w:space="0" w:color="auto"/>
              <w:right w:val="nil"/>
            </w:tcBorders>
            <w:noWrap/>
            <w:vAlign w:val="center"/>
            <w:hideMark/>
          </w:tcPr>
          <w:p w14:paraId="67A6B0DE"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(66,599)</w:t>
            </w:r>
          </w:p>
        </w:tc>
        <w:tc>
          <w:tcPr>
            <w:tcW w:w="367" w:type="pct"/>
            <w:tcBorders>
              <w:top w:val="single" w:sz="4" w:space="0" w:color="auto"/>
              <w:left w:val="nil"/>
              <w:bottom w:val="single" w:sz="4" w:space="0" w:color="auto"/>
              <w:right w:val="nil"/>
            </w:tcBorders>
            <w:shd w:val="clear" w:color="000000" w:fill="EEECE1"/>
            <w:noWrap/>
            <w:vAlign w:val="center"/>
            <w:hideMark/>
          </w:tcPr>
          <w:p w14:paraId="00DC3382"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38.0</w:t>
            </w:r>
          </w:p>
        </w:tc>
      </w:tr>
      <w:tr w:rsidR="001461ED" w:rsidRPr="00F77CCF" w14:paraId="6C5835C2" w14:textId="77777777" w:rsidTr="00D40378">
        <w:trPr>
          <w:trHeight w:val="240"/>
          <w:jc w:val="center"/>
        </w:trPr>
        <w:tc>
          <w:tcPr>
            <w:tcW w:w="3121" w:type="pct"/>
            <w:tcBorders>
              <w:top w:val="nil"/>
              <w:left w:val="nil"/>
              <w:bottom w:val="nil"/>
              <w:right w:val="nil"/>
            </w:tcBorders>
            <w:vAlign w:val="center"/>
            <w:hideMark/>
          </w:tcPr>
          <w:p w14:paraId="05718C03" w14:textId="77777777" w:rsidR="001461ED" w:rsidRPr="00F77CCF" w:rsidRDefault="001461ED" w:rsidP="00D40378">
            <w:pPr>
              <w:rPr>
                <w:rFonts w:ascii="Roboto Light" w:hAnsi="Roboto Light" w:cs="Arial"/>
                <w:sz w:val="18"/>
                <w:szCs w:val="18"/>
              </w:rPr>
            </w:pPr>
            <w:r>
              <w:rPr>
                <w:rFonts w:ascii="Roboto Light" w:hAnsi="Roboto Light"/>
                <w:sz w:val="18"/>
              </w:rPr>
              <w:t>Gains on equity investments</w:t>
            </w:r>
          </w:p>
        </w:tc>
        <w:tc>
          <w:tcPr>
            <w:tcW w:w="756" w:type="pct"/>
            <w:tcBorders>
              <w:top w:val="nil"/>
              <w:left w:val="nil"/>
              <w:bottom w:val="nil"/>
              <w:right w:val="nil"/>
            </w:tcBorders>
            <w:shd w:val="clear" w:color="000000" w:fill="EEECE1"/>
            <w:noWrap/>
            <w:vAlign w:val="center"/>
            <w:hideMark/>
          </w:tcPr>
          <w:p w14:paraId="7014FBB5" w14:textId="77777777" w:rsidR="001461ED" w:rsidRPr="00F77CCF" w:rsidRDefault="001461ED" w:rsidP="00D40378">
            <w:pPr>
              <w:jc w:val="right"/>
              <w:rPr>
                <w:rFonts w:ascii="Roboto Light" w:hAnsi="Roboto Light" w:cs="Arial"/>
                <w:sz w:val="18"/>
                <w:szCs w:val="18"/>
              </w:rPr>
            </w:pPr>
            <w:r>
              <w:rPr>
                <w:rFonts w:ascii="Roboto Light" w:hAnsi="Roboto Light"/>
                <w:sz w:val="18"/>
              </w:rPr>
              <w:t>(87)</w:t>
            </w:r>
          </w:p>
        </w:tc>
        <w:tc>
          <w:tcPr>
            <w:tcW w:w="756" w:type="pct"/>
            <w:tcBorders>
              <w:top w:val="nil"/>
              <w:left w:val="nil"/>
              <w:bottom w:val="nil"/>
              <w:right w:val="nil"/>
            </w:tcBorders>
            <w:noWrap/>
            <w:vAlign w:val="center"/>
            <w:hideMark/>
          </w:tcPr>
          <w:p w14:paraId="7009422E" w14:textId="77777777" w:rsidR="001461ED" w:rsidRPr="00F77CCF" w:rsidRDefault="001461ED" w:rsidP="00D40378">
            <w:pPr>
              <w:jc w:val="right"/>
              <w:rPr>
                <w:rFonts w:ascii="Roboto Light" w:hAnsi="Roboto Light" w:cs="Arial"/>
                <w:sz w:val="18"/>
                <w:szCs w:val="18"/>
              </w:rPr>
            </w:pPr>
            <w:r>
              <w:rPr>
                <w:rFonts w:ascii="Roboto Light" w:hAnsi="Roboto Light"/>
                <w:sz w:val="18"/>
              </w:rPr>
              <w:t>2,027</w:t>
            </w:r>
          </w:p>
        </w:tc>
        <w:tc>
          <w:tcPr>
            <w:tcW w:w="367" w:type="pct"/>
            <w:tcBorders>
              <w:top w:val="nil"/>
              <w:left w:val="nil"/>
              <w:bottom w:val="nil"/>
              <w:right w:val="nil"/>
            </w:tcBorders>
            <w:shd w:val="clear" w:color="000000" w:fill="EEECE1"/>
            <w:noWrap/>
            <w:vAlign w:val="center"/>
            <w:hideMark/>
          </w:tcPr>
          <w:p w14:paraId="2E3CC4D7" w14:textId="77777777" w:rsidR="001461ED" w:rsidRPr="00F77CCF" w:rsidRDefault="001461ED" w:rsidP="00D40378">
            <w:pPr>
              <w:jc w:val="right"/>
              <w:rPr>
                <w:rFonts w:ascii="Roboto Light" w:hAnsi="Roboto Light" w:cs="Arial"/>
                <w:sz w:val="18"/>
                <w:szCs w:val="18"/>
              </w:rPr>
            </w:pPr>
            <w:r>
              <w:rPr>
                <w:rFonts w:ascii="Roboto Light" w:hAnsi="Roboto Light"/>
                <w:sz w:val="18"/>
              </w:rPr>
              <w:t>(*)</w:t>
            </w:r>
          </w:p>
        </w:tc>
      </w:tr>
      <w:tr w:rsidR="001461ED" w:rsidRPr="00F77CCF" w14:paraId="6B445A66" w14:textId="77777777" w:rsidTr="00D40378">
        <w:trPr>
          <w:trHeight w:val="480"/>
          <w:jc w:val="center"/>
        </w:trPr>
        <w:tc>
          <w:tcPr>
            <w:tcW w:w="3121" w:type="pct"/>
            <w:tcBorders>
              <w:top w:val="nil"/>
              <w:left w:val="nil"/>
              <w:bottom w:val="nil"/>
              <w:right w:val="nil"/>
            </w:tcBorders>
            <w:vAlign w:val="center"/>
            <w:hideMark/>
          </w:tcPr>
          <w:p w14:paraId="0F134286" w14:textId="77777777" w:rsidR="001461ED" w:rsidRPr="00F77CCF" w:rsidRDefault="001461ED" w:rsidP="00D40378">
            <w:pPr>
              <w:rPr>
                <w:rFonts w:ascii="Roboto Light" w:hAnsi="Roboto Light" w:cs="Arial"/>
                <w:sz w:val="18"/>
                <w:szCs w:val="18"/>
              </w:rPr>
            </w:pPr>
            <w:r>
              <w:rPr>
                <w:rFonts w:ascii="Roboto Light" w:hAnsi="Roboto Light"/>
                <w:sz w:val="18"/>
              </w:rPr>
              <w:t>Share of profit of equity-accounted investees, net of tax effects</w:t>
            </w:r>
          </w:p>
        </w:tc>
        <w:tc>
          <w:tcPr>
            <w:tcW w:w="756" w:type="pct"/>
            <w:tcBorders>
              <w:top w:val="nil"/>
              <w:left w:val="nil"/>
              <w:bottom w:val="nil"/>
              <w:right w:val="nil"/>
            </w:tcBorders>
            <w:shd w:val="clear" w:color="000000" w:fill="EEECE1"/>
            <w:noWrap/>
            <w:vAlign w:val="center"/>
            <w:hideMark/>
          </w:tcPr>
          <w:p w14:paraId="70EBC9A5" w14:textId="77777777" w:rsidR="001461ED" w:rsidRPr="00F77CCF" w:rsidRDefault="001461ED" w:rsidP="00D40378">
            <w:pPr>
              <w:jc w:val="right"/>
              <w:rPr>
                <w:rFonts w:ascii="Roboto Light" w:hAnsi="Roboto Light" w:cs="Arial"/>
                <w:sz w:val="18"/>
                <w:szCs w:val="18"/>
              </w:rPr>
            </w:pPr>
            <w:r>
              <w:rPr>
                <w:rFonts w:ascii="Roboto Light" w:hAnsi="Roboto Light"/>
                <w:sz w:val="18"/>
              </w:rPr>
              <w:t>11,171</w:t>
            </w:r>
          </w:p>
        </w:tc>
        <w:tc>
          <w:tcPr>
            <w:tcW w:w="756" w:type="pct"/>
            <w:tcBorders>
              <w:top w:val="nil"/>
              <w:left w:val="nil"/>
              <w:bottom w:val="nil"/>
              <w:right w:val="nil"/>
            </w:tcBorders>
            <w:noWrap/>
            <w:vAlign w:val="center"/>
            <w:hideMark/>
          </w:tcPr>
          <w:p w14:paraId="20A3BD46" w14:textId="77777777" w:rsidR="001461ED" w:rsidRPr="00F77CCF" w:rsidRDefault="001461ED" w:rsidP="00D40378">
            <w:pPr>
              <w:jc w:val="right"/>
              <w:rPr>
                <w:rFonts w:ascii="Roboto Light" w:hAnsi="Roboto Light" w:cs="Arial"/>
                <w:sz w:val="18"/>
                <w:szCs w:val="18"/>
              </w:rPr>
            </w:pPr>
            <w:r>
              <w:rPr>
                <w:rFonts w:ascii="Roboto Light" w:hAnsi="Roboto Light"/>
                <w:sz w:val="18"/>
              </w:rPr>
              <w:t>7,631</w:t>
            </w:r>
          </w:p>
        </w:tc>
        <w:tc>
          <w:tcPr>
            <w:tcW w:w="367" w:type="pct"/>
            <w:tcBorders>
              <w:top w:val="nil"/>
              <w:left w:val="nil"/>
              <w:bottom w:val="nil"/>
              <w:right w:val="nil"/>
            </w:tcBorders>
            <w:shd w:val="clear" w:color="000000" w:fill="EEECE1"/>
            <w:noWrap/>
            <w:vAlign w:val="center"/>
            <w:hideMark/>
          </w:tcPr>
          <w:p w14:paraId="44A0E37F" w14:textId="77777777" w:rsidR="001461ED" w:rsidRPr="00F77CCF" w:rsidRDefault="001461ED" w:rsidP="00D40378">
            <w:pPr>
              <w:jc w:val="right"/>
              <w:rPr>
                <w:rFonts w:ascii="Roboto Light" w:hAnsi="Roboto Light" w:cs="Arial"/>
                <w:sz w:val="18"/>
                <w:szCs w:val="18"/>
              </w:rPr>
            </w:pPr>
            <w:r>
              <w:rPr>
                <w:rFonts w:ascii="Roboto Light" w:hAnsi="Roboto Light"/>
                <w:sz w:val="18"/>
              </w:rPr>
              <w:t>46.4</w:t>
            </w:r>
          </w:p>
        </w:tc>
      </w:tr>
      <w:tr w:rsidR="001461ED" w:rsidRPr="00F77CCF" w14:paraId="33C933E0"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384CDE09" w14:textId="77777777" w:rsidR="001461ED" w:rsidRPr="00F77CCF" w:rsidRDefault="001461ED" w:rsidP="00D40378">
            <w:pPr>
              <w:rPr>
                <w:rFonts w:ascii="Roboto Light" w:hAnsi="Roboto Light" w:cs="Arial"/>
                <w:b/>
                <w:bCs/>
                <w:sz w:val="18"/>
                <w:szCs w:val="18"/>
              </w:rPr>
            </w:pPr>
            <w:r>
              <w:rPr>
                <w:rFonts w:ascii="Roboto Light" w:hAnsi="Roboto Light"/>
                <w:b/>
                <w:sz w:val="18"/>
              </w:rPr>
              <w:t>Pre-tax result</w:t>
            </w:r>
          </w:p>
        </w:tc>
        <w:tc>
          <w:tcPr>
            <w:tcW w:w="756" w:type="pct"/>
            <w:tcBorders>
              <w:top w:val="single" w:sz="4" w:space="0" w:color="auto"/>
              <w:left w:val="nil"/>
              <w:bottom w:val="single" w:sz="4" w:space="0" w:color="auto"/>
              <w:right w:val="nil"/>
            </w:tcBorders>
            <w:shd w:val="clear" w:color="000000" w:fill="EEECE1"/>
            <w:noWrap/>
            <w:vAlign w:val="center"/>
            <w:hideMark/>
          </w:tcPr>
          <w:p w14:paraId="77EED728"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320,673</w:t>
            </w:r>
          </w:p>
        </w:tc>
        <w:tc>
          <w:tcPr>
            <w:tcW w:w="756" w:type="pct"/>
            <w:tcBorders>
              <w:top w:val="single" w:sz="4" w:space="0" w:color="auto"/>
              <w:left w:val="nil"/>
              <w:bottom w:val="single" w:sz="4" w:space="0" w:color="auto"/>
              <w:right w:val="nil"/>
            </w:tcBorders>
            <w:noWrap/>
            <w:vAlign w:val="center"/>
            <w:hideMark/>
          </w:tcPr>
          <w:p w14:paraId="20C11C35"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319,649</w:t>
            </w:r>
          </w:p>
        </w:tc>
        <w:tc>
          <w:tcPr>
            <w:tcW w:w="367" w:type="pct"/>
            <w:tcBorders>
              <w:top w:val="single" w:sz="4" w:space="0" w:color="auto"/>
              <w:left w:val="nil"/>
              <w:bottom w:val="single" w:sz="4" w:space="0" w:color="auto"/>
              <w:right w:val="nil"/>
            </w:tcBorders>
            <w:shd w:val="clear" w:color="000000" w:fill="EEECE1"/>
            <w:noWrap/>
            <w:vAlign w:val="center"/>
            <w:hideMark/>
          </w:tcPr>
          <w:p w14:paraId="2B63EEB4"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0.3</w:t>
            </w:r>
          </w:p>
        </w:tc>
      </w:tr>
      <w:tr w:rsidR="001461ED" w:rsidRPr="00F77CCF" w14:paraId="47BD984A" w14:textId="77777777" w:rsidTr="00D40378">
        <w:trPr>
          <w:trHeight w:val="240"/>
          <w:jc w:val="center"/>
        </w:trPr>
        <w:tc>
          <w:tcPr>
            <w:tcW w:w="3121" w:type="pct"/>
            <w:tcBorders>
              <w:top w:val="nil"/>
              <w:left w:val="nil"/>
              <w:bottom w:val="nil"/>
              <w:right w:val="nil"/>
            </w:tcBorders>
            <w:vAlign w:val="center"/>
            <w:hideMark/>
          </w:tcPr>
          <w:p w14:paraId="48D7F2F7" w14:textId="77777777" w:rsidR="001461ED" w:rsidRPr="00F77CCF" w:rsidRDefault="001461ED" w:rsidP="00D40378">
            <w:pPr>
              <w:rPr>
                <w:rFonts w:ascii="Roboto Light" w:hAnsi="Roboto Light" w:cs="Arial"/>
                <w:sz w:val="18"/>
                <w:szCs w:val="18"/>
              </w:rPr>
            </w:pPr>
            <w:r>
              <w:rPr>
                <w:rFonts w:ascii="Roboto Light" w:hAnsi="Roboto Light"/>
                <w:sz w:val="18"/>
              </w:rPr>
              <w:t>Income taxes</w:t>
            </w:r>
          </w:p>
        </w:tc>
        <w:tc>
          <w:tcPr>
            <w:tcW w:w="756" w:type="pct"/>
            <w:tcBorders>
              <w:top w:val="nil"/>
              <w:left w:val="nil"/>
              <w:bottom w:val="nil"/>
              <w:right w:val="nil"/>
            </w:tcBorders>
            <w:shd w:val="clear" w:color="000000" w:fill="EEECE1"/>
            <w:noWrap/>
            <w:vAlign w:val="center"/>
            <w:hideMark/>
          </w:tcPr>
          <w:p w14:paraId="1F90B85D" w14:textId="77777777" w:rsidR="001461ED" w:rsidRPr="00F77CCF" w:rsidRDefault="001461ED" w:rsidP="00D40378">
            <w:pPr>
              <w:jc w:val="right"/>
              <w:rPr>
                <w:rFonts w:ascii="Roboto Light" w:hAnsi="Roboto Light" w:cs="Arial"/>
                <w:sz w:val="18"/>
                <w:szCs w:val="18"/>
              </w:rPr>
            </w:pPr>
            <w:r>
              <w:rPr>
                <w:rFonts w:ascii="Roboto Light" w:hAnsi="Roboto Light"/>
                <w:sz w:val="18"/>
              </w:rPr>
              <w:t>(89,696)</w:t>
            </w:r>
          </w:p>
        </w:tc>
        <w:tc>
          <w:tcPr>
            <w:tcW w:w="756" w:type="pct"/>
            <w:tcBorders>
              <w:top w:val="nil"/>
              <w:left w:val="nil"/>
              <w:bottom w:val="nil"/>
              <w:right w:val="nil"/>
            </w:tcBorders>
            <w:noWrap/>
            <w:vAlign w:val="center"/>
            <w:hideMark/>
          </w:tcPr>
          <w:p w14:paraId="0DFD77F8" w14:textId="77777777" w:rsidR="001461ED" w:rsidRPr="00F77CCF" w:rsidRDefault="001461ED" w:rsidP="00D40378">
            <w:pPr>
              <w:jc w:val="right"/>
              <w:rPr>
                <w:rFonts w:ascii="Roboto Light" w:hAnsi="Roboto Light" w:cs="Arial"/>
                <w:sz w:val="18"/>
                <w:szCs w:val="18"/>
              </w:rPr>
            </w:pPr>
            <w:r>
              <w:rPr>
                <w:rFonts w:ascii="Roboto Light" w:hAnsi="Roboto Light"/>
                <w:sz w:val="18"/>
              </w:rPr>
              <w:t>(94,994)</w:t>
            </w:r>
          </w:p>
        </w:tc>
        <w:tc>
          <w:tcPr>
            <w:tcW w:w="367" w:type="pct"/>
            <w:tcBorders>
              <w:top w:val="nil"/>
              <w:left w:val="nil"/>
              <w:bottom w:val="nil"/>
              <w:right w:val="nil"/>
            </w:tcBorders>
            <w:shd w:val="clear" w:color="000000" w:fill="EEECE1"/>
            <w:noWrap/>
            <w:vAlign w:val="center"/>
            <w:hideMark/>
          </w:tcPr>
          <w:p w14:paraId="4FF010B4" w14:textId="77777777" w:rsidR="001461ED" w:rsidRPr="00F77CCF" w:rsidRDefault="001461ED" w:rsidP="00D40378">
            <w:pPr>
              <w:jc w:val="right"/>
              <w:rPr>
                <w:rFonts w:ascii="Roboto Light" w:hAnsi="Roboto Light" w:cs="Arial"/>
                <w:sz w:val="18"/>
                <w:szCs w:val="18"/>
              </w:rPr>
            </w:pPr>
            <w:r>
              <w:rPr>
                <w:rFonts w:ascii="Roboto Light" w:hAnsi="Roboto Light"/>
                <w:sz w:val="18"/>
              </w:rPr>
              <w:t>(5.6)</w:t>
            </w:r>
          </w:p>
        </w:tc>
      </w:tr>
      <w:tr w:rsidR="001461ED" w:rsidRPr="00F77CCF" w14:paraId="2E933E49"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4F8832FD" w14:textId="77777777" w:rsidR="001461ED" w:rsidRPr="00F77CCF" w:rsidRDefault="001461ED" w:rsidP="00D40378">
            <w:pPr>
              <w:rPr>
                <w:rFonts w:ascii="Roboto Light" w:hAnsi="Roboto Light" w:cs="Arial"/>
                <w:b/>
                <w:bCs/>
                <w:sz w:val="18"/>
                <w:szCs w:val="18"/>
              </w:rPr>
            </w:pPr>
            <w:r>
              <w:rPr>
                <w:rFonts w:ascii="Roboto Light" w:hAnsi="Roboto Light"/>
                <w:b/>
                <w:sz w:val="18"/>
              </w:rPr>
              <w:t>Profit from continuing operations</w:t>
            </w:r>
          </w:p>
        </w:tc>
        <w:tc>
          <w:tcPr>
            <w:tcW w:w="756" w:type="pct"/>
            <w:tcBorders>
              <w:top w:val="single" w:sz="4" w:space="0" w:color="auto"/>
              <w:left w:val="nil"/>
              <w:bottom w:val="single" w:sz="4" w:space="0" w:color="auto"/>
              <w:right w:val="nil"/>
            </w:tcBorders>
            <w:shd w:val="clear" w:color="000000" w:fill="EEECE1"/>
            <w:noWrap/>
            <w:vAlign w:val="center"/>
            <w:hideMark/>
          </w:tcPr>
          <w:p w14:paraId="3718E129"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230,977</w:t>
            </w:r>
          </w:p>
        </w:tc>
        <w:tc>
          <w:tcPr>
            <w:tcW w:w="756" w:type="pct"/>
            <w:tcBorders>
              <w:top w:val="single" w:sz="4" w:space="0" w:color="auto"/>
              <w:left w:val="nil"/>
              <w:bottom w:val="single" w:sz="4" w:space="0" w:color="auto"/>
              <w:right w:val="nil"/>
            </w:tcBorders>
            <w:noWrap/>
            <w:vAlign w:val="center"/>
            <w:hideMark/>
          </w:tcPr>
          <w:p w14:paraId="5082C626"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224,655</w:t>
            </w:r>
          </w:p>
        </w:tc>
        <w:tc>
          <w:tcPr>
            <w:tcW w:w="367" w:type="pct"/>
            <w:tcBorders>
              <w:top w:val="single" w:sz="4" w:space="0" w:color="auto"/>
              <w:left w:val="nil"/>
              <w:bottom w:val="single" w:sz="4" w:space="0" w:color="auto"/>
              <w:right w:val="nil"/>
            </w:tcBorders>
            <w:shd w:val="clear" w:color="000000" w:fill="EEECE1"/>
            <w:noWrap/>
            <w:vAlign w:val="center"/>
            <w:hideMark/>
          </w:tcPr>
          <w:p w14:paraId="43F87AFE"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2.8</w:t>
            </w:r>
          </w:p>
        </w:tc>
      </w:tr>
      <w:tr w:rsidR="001461ED" w:rsidRPr="00F77CCF" w14:paraId="081B7C25" w14:textId="77777777" w:rsidTr="00D40378">
        <w:trPr>
          <w:trHeight w:val="240"/>
          <w:jc w:val="center"/>
        </w:trPr>
        <w:tc>
          <w:tcPr>
            <w:tcW w:w="3121" w:type="pct"/>
            <w:tcBorders>
              <w:top w:val="nil"/>
              <w:left w:val="nil"/>
              <w:bottom w:val="nil"/>
              <w:right w:val="nil"/>
            </w:tcBorders>
            <w:vAlign w:val="center"/>
            <w:hideMark/>
          </w:tcPr>
          <w:p w14:paraId="61C95274" w14:textId="77777777" w:rsidR="001461ED" w:rsidRPr="00F77CCF" w:rsidRDefault="001461ED" w:rsidP="00D40378">
            <w:pPr>
              <w:rPr>
                <w:rFonts w:ascii="Roboto Light" w:hAnsi="Roboto Light" w:cs="Arial"/>
                <w:sz w:val="18"/>
                <w:szCs w:val="18"/>
              </w:rPr>
            </w:pPr>
            <w:r>
              <w:rPr>
                <w:rFonts w:ascii="Roboto Light" w:hAnsi="Roboto Light"/>
                <w:sz w:val="18"/>
              </w:rPr>
              <w:t>Profit (loss) from discontinued operations</w:t>
            </w:r>
          </w:p>
        </w:tc>
        <w:tc>
          <w:tcPr>
            <w:tcW w:w="756" w:type="pct"/>
            <w:tcBorders>
              <w:top w:val="nil"/>
              <w:left w:val="nil"/>
              <w:bottom w:val="nil"/>
              <w:right w:val="nil"/>
            </w:tcBorders>
            <w:shd w:val="clear" w:color="000000" w:fill="EEECE1"/>
            <w:noWrap/>
            <w:vAlign w:val="center"/>
            <w:hideMark/>
          </w:tcPr>
          <w:p w14:paraId="036D277A" w14:textId="77777777" w:rsidR="001461ED" w:rsidRPr="00F77CCF" w:rsidRDefault="001461ED" w:rsidP="00D40378">
            <w:pPr>
              <w:jc w:val="right"/>
              <w:rPr>
                <w:rFonts w:ascii="Roboto Light" w:hAnsi="Roboto Light" w:cs="Arial"/>
                <w:sz w:val="18"/>
                <w:szCs w:val="18"/>
              </w:rPr>
            </w:pPr>
            <w:r>
              <w:rPr>
                <w:rFonts w:ascii="Roboto Light" w:hAnsi="Roboto Light"/>
                <w:sz w:val="18"/>
              </w:rPr>
              <w:t xml:space="preserve">- </w:t>
            </w:r>
          </w:p>
        </w:tc>
        <w:tc>
          <w:tcPr>
            <w:tcW w:w="756" w:type="pct"/>
            <w:tcBorders>
              <w:top w:val="nil"/>
              <w:left w:val="nil"/>
              <w:bottom w:val="nil"/>
              <w:right w:val="nil"/>
            </w:tcBorders>
            <w:noWrap/>
            <w:vAlign w:val="center"/>
            <w:hideMark/>
          </w:tcPr>
          <w:p w14:paraId="0D90260D" w14:textId="77777777" w:rsidR="001461ED" w:rsidRPr="00F77CCF" w:rsidRDefault="001461ED" w:rsidP="00D40378">
            <w:pPr>
              <w:jc w:val="right"/>
              <w:rPr>
                <w:rFonts w:ascii="Roboto Light" w:hAnsi="Roboto Light" w:cs="Arial"/>
                <w:sz w:val="18"/>
                <w:szCs w:val="18"/>
              </w:rPr>
            </w:pPr>
            <w:r>
              <w:rPr>
                <w:rFonts w:ascii="Roboto Light" w:hAnsi="Roboto Light"/>
                <w:sz w:val="18"/>
              </w:rPr>
              <w:t xml:space="preserve">- </w:t>
            </w:r>
          </w:p>
        </w:tc>
        <w:tc>
          <w:tcPr>
            <w:tcW w:w="367" w:type="pct"/>
            <w:tcBorders>
              <w:top w:val="nil"/>
              <w:left w:val="nil"/>
              <w:bottom w:val="nil"/>
              <w:right w:val="nil"/>
            </w:tcBorders>
            <w:shd w:val="clear" w:color="000000" w:fill="EEECE1"/>
            <w:noWrap/>
            <w:vAlign w:val="center"/>
            <w:hideMark/>
          </w:tcPr>
          <w:p w14:paraId="6E107312" w14:textId="77777777" w:rsidR="001461ED" w:rsidRPr="00F77CCF" w:rsidRDefault="001461ED" w:rsidP="00D40378">
            <w:pPr>
              <w:jc w:val="right"/>
              <w:rPr>
                <w:rFonts w:ascii="Roboto Light" w:hAnsi="Roboto Light" w:cs="Arial"/>
                <w:sz w:val="18"/>
                <w:szCs w:val="18"/>
              </w:rPr>
            </w:pPr>
            <w:r>
              <w:rPr>
                <w:rFonts w:ascii="Roboto Light" w:hAnsi="Roboto Light"/>
                <w:sz w:val="18"/>
              </w:rPr>
              <w:t>-</w:t>
            </w:r>
          </w:p>
        </w:tc>
      </w:tr>
      <w:tr w:rsidR="001461ED" w:rsidRPr="00F77CCF" w14:paraId="1CC06648" w14:textId="77777777" w:rsidTr="00D40378">
        <w:trPr>
          <w:trHeight w:val="240"/>
          <w:jc w:val="center"/>
        </w:trPr>
        <w:tc>
          <w:tcPr>
            <w:tcW w:w="3121" w:type="pct"/>
            <w:tcBorders>
              <w:top w:val="single" w:sz="4" w:space="0" w:color="auto"/>
              <w:left w:val="nil"/>
              <w:bottom w:val="single" w:sz="4" w:space="0" w:color="auto"/>
              <w:right w:val="nil"/>
            </w:tcBorders>
            <w:vAlign w:val="center"/>
            <w:hideMark/>
          </w:tcPr>
          <w:p w14:paraId="21763BA2" w14:textId="77777777" w:rsidR="001461ED" w:rsidRPr="00F77CCF" w:rsidRDefault="001461ED" w:rsidP="00D40378">
            <w:pPr>
              <w:rPr>
                <w:rFonts w:ascii="Roboto Light" w:hAnsi="Roboto Light" w:cs="Arial"/>
                <w:b/>
                <w:bCs/>
                <w:sz w:val="18"/>
                <w:szCs w:val="18"/>
              </w:rPr>
            </w:pPr>
            <w:r>
              <w:rPr>
                <w:rFonts w:ascii="Roboto Light" w:hAnsi="Roboto Light"/>
                <w:b/>
                <w:sz w:val="18"/>
              </w:rPr>
              <w:t>Profit for the period</w:t>
            </w:r>
          </w:p>
        </w:tc>
        <w:tc>
          <w:tcPr>
            <w:tcW w:w="756" w:type="pct"/>
            <w:tcBorders>
              <w:top w:val="single" w:sz="4" w:space="0" w:color="auto"/>
              <w:left w:val="nil"/>
              <w:bottom w:val="single" w:sz="4" w:space="0" w:color="auto"/>
              <w:right w:val="nil"/>
            </w:tcBorders>
            <w:shd w:val="clear" w:color="000000" w:fill="EEECE1"/>
            <w:noWrap/>
            <w:vAlign w:val="center"/>
            <w:hideMark/>
          </w:tcPr>
          <w:p w14:paraId="4FDA856D"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230,977</w:t>
            </w:r>
          </w:p>
        </w:tc>
        <w:tc>
          <w:tcPr>
            <w:tcW w:w="756" w:type="pct"/>
            <w:tcBorders>
              <w:top w:val="single" w:sz="4" w:space="0" w:color="auto"/>
              <w:left w:val="nil"/>
              <w:bottom w:val="single" w:sz="4" w:space="0" w:color="auto"/>
              <w:right w:val="nil"/>
            </w:tcBorders>
            <w:noWrap/>
            <w:vAlign w:val="center"/>
            <w:hideMark/>
          </w:tcPr>
          <w:p w14:paraId="0D3D7CB2"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224,655</w:t>
            </w:r>
          </w:p>
        </w:tc>
        <w:tc>
          <w:tcPr>
            <w:tcW w:w="367" w:type="pct"/>
            <w:tcBorders>
              <w:top w:val="single" w:sz="4" w:space="0" w:color="auto"/>
              <w:left w:val="nil"/>
              <w:bottom w:val="single" w:sz="4" w:space="0" w:color="auto"/>
              <w:right w:val="nil"/>
            </w:tcBorders>
            <w:shd w:val="clear" w:color="000000" w:fill="EEECE1"/>
            <w:noWrap/>
            <w:vAlign w:val="center"/>
            <w:hideMark/>
          </w:tcPr>
          <w:p w14:paraId="0AE560D4" w14:textId="77777777" w:rsidR="001461ED" w:rsidRPr="00F77CCF" w:rsidRDefault="001461ED" w:rsidP="00D40378">
            <w:pPr>
              <w:jc w:val="right"/>
              <w:rPr>
                <w:rFonts w:ascii="Roboto Light" w:hAnsi="Roboto Light" w:cs="Arial"/>
                <w:b/>
                <w:bCs/>
                <w:sz w:val="18"/>
                <w:szCs w:val="18"/>
              </w:rPr>
            </w:pPr>
            <w:r>
              <w:rPr>
                <w:rFonts w:ascii="Roboto Light" w:hAnsi="Roboto Light"/>
                <w:b/>
                <w:sz w:val="18"/>
              </w:rPr>
              <w:t>2.8</w:t>
            </w:r>
          </w:p>
        </w:tc>
      </w:tr>
      <w:tr w:rsidR="001461ED" w:rsidRPr="00F77CCF" w14:paraId="698E8070" w14:textId="77777777" w:rsidTr="00D40378">
        <w:trPr>
          <w:trHeight w:val="240"/>
          <w:jc w:val="center"/>
        </w:trPr>
        <w:tc>
          <w:tcPr>
            <w:tcW w:w="3121" w:type="pct"/>
            <w:tcBorders>
              <w:top w:val="nil"/>
              <w:left w:val="nil"/>
              <w:bottom w:val="nil"/>
              <w:right w:val="nil"/>
            </w:tcBorders>
            <w:vAlign w:val="center"/>
            <w:hideMark/>
          </w:tcPr>
          <w:p w14:paraId="1C2093A7" w14:textId="77777777" w:rsidR="001461ED" w:rsidRPr="00F77CCF" w:rsidRDefault="001461ED" w:rsidP="00D40378">
            <w:pPr>
              <w:rPr>
                <w:rFonts w:ascii="Roboto Light" w:hAnsi="Roboto Light" w:cs="Arial"/>
                <w:sz w:val="18"/>
                <w:szCs w:val="18"/>
              </w:rPr>
            </w:pPr>
            <w:r>
              <w:rPr>
                <w:rFonts w:ascii="Roboto Light" w:hAnsi="Roboto Light"/>
                <w:sz w:val="18"/>
              </w:rPr>
              <w:t>attributable to:</w:t>
            </w:r>
          </w:p>
        </w:tc>
        <w:tc>
          <w:tcPr>
            <w:tcW w:w="756" w:type="pct"/>
            <w:tcBorders>
              <w:top w:val="nil"/>
              <w:left w:val="nil"/>
              <w:bottom w:val="nil"/>
              <w:right w:val="nil"/>
            </w:tcBorders>
            <w:shd w:val="clear" w:color="000000" w:fill="EEECE1"/>
            <w:noWrap/>
            <w:vAlign w:val="center"/>
            <w:hideMark/>
          </w:tcPr>
          <w:p w14:paraId="28CD29B0"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c>
          <w:tcPr>
            <w:tcW w:w="756" w:type="pct"/>
            <w:tcBorders>
              <w:top w:val="nil"/>
              <w:left w:val="nil"/>
              <w:bottom w:val="nil"/>
              <w:right w:val="nil"/>
            </w:tcBorders>
            <w:noWrap/>
            <w:vAlign w:val="center"/>
            <w:hideMark/>
          </w:tcPr>
          <w:p w14:paraId="61C50B5E" w14:textId="77777777" w:rsidR="001461ED" w:rsidRPr="00F77CCF" w:rsidRDefault="001461ED" w:rsidP="00D40378">
            <w:pPr>
              <w:jc w:val="right"/>
              <w:rPr>
                <w:rFonts w:ascii="Roboto Light" w:hAnsi="Roboto Light" w:cs="Arial"/>
                <w:sz w:val="18"/>
                <w:szCs w:val="18"/>
              </w:rPr>
            </w:pPr>
          </w:p>
        </w:tc>
        <w:tc>
          <w:tcPr>
            <w:tcW w:w="367" w:type="pct"/>
            <w:tcBorders>
              <w:top w:val="nil"/>
              <w:left w:val="nil"/>
              <w:bottom w:val="nil"/>
              <w:right w:val="nil"/>
            </w:tcBorders>
            <w:shd w:val="clear" w:color="000000" w:fill="EEECE1"/>
            <w:noWrap/>
            <w:vAlign w:val="center"/>
            <w:hideMark/>
          </w:tcPr>
          <w:p w14:paraId="5F520B75" w14:textId="77777777" w:rsidR="001461ED" w:rsidRPr="00F77CCF" w:rsidRDefault="001461ED" w:rsidP="00D40378">
            <w:pPr>
              <w:jc w:val="right"/>
              <w:rPr>
                <w:rFonts w:ascii="Roboto Light" w:hAnsi="Roboto Light" w:cs="Arial"/>
                <w:sz w:val="18"/>
                <w:szCs w:val="18"/>
              </w:rPr>
            </w:pPr>
            <w:r>
              <w:rPr>
                <w:rFonts w:ascii="Roboto Light" w:hAnsi="Roboto Light"/>
                <w:sz w:val="18"/>
              </w:rPr>
              <w:t> </w:t>
            </w:r>
          </w:p>
        </w:tc>
      </w:tr>
      <w:tr w:rsidR="001461ED" w:rsidRPr="00F77CCF" w14:paraId="05420985" w14:textId="77777777" w:rsidTr="00D40378">
        <w:trPr>
          <w:trHeight w:val="240"/>
          <w:jc w:val="center"/>
        </w:trPr>
        <w:tc>
          <w:tcPr>
            <w:tcW w:w="3121" w:type="pct"/>
            <w:tcBorders>
              <w:top w:val="nil"/>
              <w:left w:val="nil"/>
              <w:bottom w:val="nil"/>
              <w:right w:val="nil"/>
            </w:tcBorders>
            <w:vAlign w:val="center"/>
            <w:hideMark/>
          </w:tcPr>
          <w:p w14:paraId="1AE228F9" w14:textId="77777777" w:rsidR="001461ED" w:rsidRPr="00F77CCF" w:rsidRDefault="001461ED" w:rsidP="00D40378">
            <w:pPr>
              <w:rPr>
                <w:rFonts w:ascii="Roboto Light" w:hAnsi="Roboto Light" w:cs="Arial"/>
                <w:sz w:val="18"/>
                <w:szCs w:val="18"/>
              </w:rPr>
            </w:pPr>
            <w:r>
              <w:rPr>
                <w:rFonts w:ascii="Roboto Light" w:hAnsi="Roboto Light"/>
                <w:sz w:val="18"/>
              </w:rPr>
              <w:t>- Profit (loss) for the period attributable to shareholders</w:t>
            </w:r>
          </w:p>
        </w:tc>
        <w:tc>
          <w:tcPr>
            <w:tcW w:w="756" w:type="pct"/>
            <w:tcBorders>
              <w:top w:val="nil"/>
              <w:left w:val="nil"/>
              <w:bottom w:val="nil"/>
              <w:right w:val="nil"/>
            </w:tcBorders>
            <w:shd w:val="clear" w:color="000000" w:fill="EEECE1"/>
            <w:noWrap/>
            <w:vAlign w:val="center"/>
            <w:hideMark/>
          </w:tcPr>
          <w:p w14:paraId="714A9B97" w14:textId="77777777" w:rsidR="001461ED" w:rsidRPr="00F77CCF" w:rsidRDefault="001461ED" w:rsidP="00D40378">
            <w:pPr>
              <w:jc w:val="right"/>
              <w:rPr>
                <w:rFonts w:ascii="Roboto Light" w:hAnsi="Roboto Light" w:cs="Arial"/>
                <w:sz w:val="18"/>
                <w:szCs w:val="18"/>
              </w:rPr>
            </w:pPr>
            <w:r>
              <w:rPr>
                <w:rFonts w:ascii="Roboto Light" w:hAnsi="Roboto Light"/>
                <w:sz w:val="18"/>
              </w:rPr>
              <w:t>219,041</w:t>
            </w:r>
          </w:p>
        </w:tc>
        <w:tc>
          <w:tcPr>
            <w:tcW w:w="756" w:type="pct"/>
            <w:tcBorders>
              <w:top w:val="nil"/>
              <w:left w:val="nil"/>
              <w:bottom w:val="nil"/>
              <w:right w:val="nil"/>
            </w:tcBorders>
            <w:noWrap/>
            <w:vAlign w:val="center"/>
            <w:hideMark/>
          </w:tcPr>
          <w:p w14:paraId="563FE677" w14:textId="77777777" w:rsidR="001461ED" w:rsidRPr="00F77CCF" w:rsidRDefault="001461ED" w:rsidP="00D40378">
            <w:pPr>
              <w:jc w:val="right"/>
              <w:rPr>
                <w:rFonts w:ascii="Roboto Light" w:hAnsi="Roboto Light" w:cs="Arial"/>
                <w:sz w:val="18"/>
                <w:szCs w:val="18"/>
              </w:rPr>
            </w:pPr>
            <w:r>
              <w:rPr>
                <w:rFonts w:ascii="Roboto Light" w:hAnsi="Roboto Light"/>
                <w:sz w:val="18"/>
              </w:rPr>
              <w:t>195,213</w:t>
            </w:r>
          </w:p>
        </w:tc>
        <w:tc>
          <w:tcPr>
            <w:tcW w:w="367" w:type="pct"/>
            <w:tcBorders>
              <w:top w:val="nil"/>
              <w:left w:val="nil"/>
              <w:bottom w:val="nil"/>
              <w:right w:val="nil"/>
            </w:tcBorders>
            <w:shd w:val="clear" w:color="000000" w:fill="EEECE1"/>
            <w:noWrap/>
            <w:vAlign w:val="center"/>
            <w:hideMark/>
          </w:tcPr>
          <w:p w14:paraId="6C7951BF" w14:textId="77777777" w:rsidR="001461ED" w:rsidRPr="00F77CCF" w:rsidRDefault="001461ED" w:rsidP="00D40378">
            <w:pPr>
              <w:jc w:val="right"/>
              <w:rPr>
                <w:rFonts w:ascii="Roboto Light" w:hAnsi="Roboto Light" w:cs="Arial"/>
                <w:sz w:val="18"/>
                <w:szCs w:val="18"/>
              </w:rPr>
            </w:pPr>
            <w:r>
              <w:rPr>
                <w:rFonts w:ascii="Roboto Light" w:hAnsi="Roboto Light"/>
                <w:sz w:val="18"/>
              </w:rPr>
              <w:t>12.2</w:t>
            </w:r>
          </w:p>
        </w:tc>
      </w:tr>
      <w:tr w:rsidR="001461ED" w:rsidRPr="00F77CCF" w14:paraId="17437860" w14:textId="77777777" w:rsidTr="00D40378">
        <w:trPr>
          <w:trHeight w:val="240"/>
          <w:jc w:val="center"/>
        </w:trPr>
        <w:tc>
          <w:tcPr>
            <w:tcW w:w="3121" w:type="pct"/>
            <w:tcBorders>
              <w:top w:val="nil"/>
              <w:left w:val="nil"/>
              <w:bottom w:val="nil"/>
              <w:right w:val="nil"/>
            </w:tcBorders>
            <w:vAlign w:val="center"/>
            <w:hideMark/>
          </w:tcPr>
          <w:p w14:paraId="5173F3FB" w14:textId="77777777" w:rsidR="001461ED" w:rsidRPr="00F77CCF" w:rsidRDefault="001461ED" w:rsidP="00D40378">
            <w:pPr>
              <w:rPr>
                <w:rFonts w:ascii="Roboto Light" w:hAnsi="Roboto Light" w:cs="Arial"/>
                <w:sz w:val="18"/>
                <w:szCs w:val="18"/>
              </w:rPr>
            </w:pPr>
            <w:r>
              <w:rPr>
                <w:rFonts w:ascii="Roboto Light" w:hAnsi="Roboto Light"/>
                <w:sz w:val="18"/>
              </w:rPr>
              <w:t>- Profit (loss) for the period attributable to non-controlling interests</w:t>
            </w:r>
          </w:p>
        </w:tc>
        <w:tc>
          <w:tcPr>
            <w:tcW w:w="756" w:type="pct"/>
            <w:tcBorders>
              <w:top w:val="nil"/>
              <w:left w:val="nil"/>
              <w:bottom w:val="nil"/>
              <w:right w:val="nil"/>
            </w:tcBorders>
            <w:shd w:val="clear" w:color="000000" w:fill="EEECE1"/>
            <w:noWrap/>
            <w:vAlign w:val="center"/>
            <w:hideMark/>
          </w:tcPr>
          <w:p w14:paraId="6863B4A8" w14:textId="77777777" w:rsidR="001461ED" w:rsidRPr="00F77CCF" w:rsidRDefault="001461ED" w:rsidP="00D40378">
            <w:pPr>
              <w:jc w:val="right"/>
              <w:rPr>
                <w:rFonts w:ascii="Roboto Light" w:hAnsi="Roboto Light" w:cs="Arial"/>
                <w:sz w:val="18"/>
                <w:szCs w:val="18"/>
              </w:rPr>
            </w:pPr>
            <w:r>
              <w:rPr>
                <w:rFonts w:ascii="Roboto Light" w:hAnsi="Roboto Light"/>
                <w:sz w:val="18"/>
              </w:rPr>
              <w:t>11,936</w:t>
            </w:r>
          </w:p>
        </w:tc>
        <w:tc>
          <w:tcPr>
            <w:tcW w:w="756" w:type="pct"/>
            <w:tcBorders>
              <w:top w:val="nil"/>
              <w:left w:val="nil"/>
              <w:bottom w:val="nil"/>
              <w:right w:val="nil"/>
            </w:tcBorders>
            <w:noWrap/>
            <w:vAlign w:val="center"/>
            <w:hideMark/>
          </w:tcPr>
          <w:p w14:paraId="54166E04" w14:textId="77777777" w:rsidR="001461ED" w:rsidRPr="00F77CCF" w:rsidRDefault="001461ED" w:rsidP="00D40378">
            <w:pPr>
              <w:jc w:val="right"/>
              <w:rPr>
                <w:rFonts w:ascii="Roboto Light" w:hAnsi="Roboto Light" w:cs="Arial"/>
                <w:sz w:val="18"/>
                <w:szCs w:val="18"/>
              </w:rPr>
            </w:pPr>
            <w:r>
              <w:rPr>
                <w:rFonts w:ascii="Roboto Light" w:hAnsi="Roboto Light"/>
                <w:sz w:val="18"/>
              </w:rPr>
              <w:t>29,442</w:t>
            </w:r>
          </w:p>
        </w:tc>
        <w:tc>
          <w:tcPr>
            <w:tcW w:w="367" w:type="pct"/>
            <w:tcBorders>
              <w:top w:val="nil"/>
              <w:left w:val="nil"/>
              <w:bottom w:val="nil"/>
              <w:right w:val="nil"/>
            </w:tcBorders>
            <w:shd w:val="clear" w:color="000000" w:fill="EEECE1"/>
            <w:noWrap/>
            <w:vAlign w:val="center"/>
            <w:hideMark/>
          </w:tcPr>
          <w:p w14:paraId="7B877940" w14:textId="77777777" w:rsidR="001461ED" w:rsidRPr="00F77CCF" w:rsidRDefault="001461ED" w:rsidP="00D40378">
            <w:pPr>
              <w:jc w:val="right"/>
              <w:rPr>
                <w:rFonts w:ascii="Roboto Light" w:hAnsi="Roboto Light" w:cs="Arial"/>
                <w:sz w:val="18"/>
                <w:szCs w:val="18"/>
              </w:rPr>
            </w:pPr>
            <w:r>
              <w:rPr>
                <w:rFonts w:ascii="Roboto Light" w:hAnsi="Roboto Light"/>
                <w:sz w:val="18"/>
              </w:rPr>
              <w:t>(59.5)</w:t>
            </w:r>
          </w:p>
        </w:tc>
      </w:tr>
      <w:tr w:rsidR="001461ED" w:rsidRPr="00F77CCF" w14:paraId="2874F8D7" w14:textId="77777777" w:rsidTr="00D40378">
        <w:trPr>
          <w:trHeight w:val="240"/>
          <w:jc w:val="center"/>
        </w:trPr>
        <w:tc>
          <w:tcPr>
            <w:tcW w:w="3121" w:type="pct"/>
            <w:tcBorders>
              <w:top w:val="nil"/>
              <w:left w:val="nil"/>
              <w:bottom w:val="nil"/>
              <w:right w:val="nil"/>
            </w:tcBorders>
            <w:noWrap/>
            <w:vAlign w:val="bottom"/>
            <w:hideMark/>
          </w:tcPr>
          <w:p w14:paraId="126DB28D" w14:textId="77777777" w:rsidR="001461ED" w:rsidRPr="00F77CCF" w:rsidRDefault="001461ED" w:rsidP="00D40378">
            <w:pPr>
              <w:rPr>
                <w:rFonts w:ascii="Roboto Light" w:hAnsi="Roboto Light" w:cs="Arial"/>
                <w:sz w:val="16"/>
                <w:szCs w:val="16"/>
              </w:rPr>
            </w:pPr>
            <w:r>
              <w:rPr>
                <w:rFonts w:ascii="Roboto Light" w:hAnsi="Roboto Light"/>
                <w:sz w:val="16"/>
              </w:rPr>
              <w:t>(*) Change of more than 100%</w:t>
            </w:r>
          </w:p>
        </w:tc>
        <w:tc>
          <w:tcPr>
            <w:tcW w:w="756" w:type="pct"/>
            <w:tcBorders>
              <w:top w:val="nil"/>
              <w:left w:val="nil"/>
              <w:bottom w:val="nil"/>
              <w:right w:val="nil"/>
            </w:tcBorders>
            <w:vAlign w:val="center"/>
            <w:hideMark/>
          </w:tcPr>
          <w:p w14:paraId="15677D21" w14:textId="77777777" w:rsidR="001461ED" w:rsidRPr="00F77CCF" w:rsidRDefault="001461ED" w:rsidP="00D40378">
            <w:pPr>
              <w:rPr>
                <w:rFonts w:ascii="Roboto Light" w:hAnsi="Roboto Light" w:cs="Arial"/>
                <w:sz w:val="16"/>
                <w:szCs w:val="16"/>
              </w:rPr>
            </w:pPr>
          </w:p>
        </w:tc>
        <w:tc>
          <w:tcPr>
            <w:tcW w:w="756" w:type="pct"/>
            <w:tcBorders>
              <w:top w:val="nil"/>
              <w:left w:val="nil"/>
              <w:bottom w:val="nil"/>
              <w:right w:val="nil"/>
            </w:tcBorders>
            <w:vAlign w:val="center"/>
            <w:hideMark/>
          </w:tcPr>
          <w:p w14:paraId="3E380D6A" w14:textId="77777777" w:rsidR="001461ED" w:rsidRPr="00F77CCF" w:rsidRDefault="001461ED" w:rsidP="00D40378"/>
        </w:tc>
        <w:tc>
          <w:tcPr>
            <w:tcW w:w="367" w:type="pct"/>
            <w:tcBorders>
              <w:top w:val="nil"/>
              <w:left w:val="nil"/>
              <w:bottom w:val="nil"/>
              <w:right w:val="nil"/>
            </w:tcBorders>
            <w:vAlign w:val="center"/>
            <w:hideMark/>
          </w:tcPr>
          <w:p w14:paraId="07677EB7" w14:textId="77777777" w:rsidR="001461ED" w:rsidRPr="00F77CCF" w:rsidRDefault="001461ED" w:rsidP="00D40378"/>
        </w:tc>
      </w:tr>
    </w:tbl>
    <w:p w14:paraId="0C1CA939" w14:textId="77777777" w:rsidR="0054302B" w:rsidRPr="0003068D" w:rsidRDefault="0054302B" w:rsidP="0054302B">
      <w:pPr>
        <w:rPr>
          <w:rFonts w:asciiTheme="majorHAnsi" w:eastAsia="Calibri" w:hAnsiTheme="majorHAnsi" w:cstheme="majorHAnsi"/>
          <w:color w:val="EE0000"/>
          <w:sz w:val="22"/>
          <w:szCs w:val="22"/>
          <w:highlight w:val="yellow"/>
          <w:lang w:eastAsia="en-US"/>
        </w:rPr>
      </w:pPr>
    </w:p>
    <w:p w14:paraId="279AC3F4" w14:textId="77777777" w:rsidR="00451A32" w:rsidRPr="005D1478" w:rsidRDefault="00451A32" w:rsidP="00451A32">
      <w:pPr>
        <w:jc w:val="both"/>
        <w:rPr>
          <w:rFonts w:ascii="Roboto Light" w:eastAsia="Calibri" w:hAnsi="Roboto Light" w:cs="Calibri"/>
          <w:sz w:val="16"/>
          <w:szCs w:val="16"/>
        </w:rPr>
      </w:pPr>
      <w:r>
        <w:rPr>
          <w:rFonts w:ascii="Roboto Light" w:hAnsi="Roboto Light"/>
          <w:sz w:val="16"/>
        </w:rPr>
        <w:t xml:space="preserve">The comparative figures for the First Nine Months 2024 have been restated to take into account, at the acquisition date, as required by IFRS 3, the effects of the completion of the allocation of the acquisition price to the definitive fair value of the assets and liabilities acquired (Purchase Price Allocation) of Siena </w:t>
      </w:r>
      <w:proofErr w:type="spellStart"/>
      <w:r>
        <w:rPr>
          <w:rFonts w:ascii="Roboto Light" w:hAnsi="Roboto Light"/>
          <w:sz w:val="16"/>
        </w:rPr>
        <w:t>Ambiente</w:t>
      </w:r>
      <w:proofErr w:type="spellEnd"/>
      <w:r>
        <w:rPr>
          <w:rFonts w:ascii="Roboto Light" w:hAnsi="Roboto Light"/>
          <w:sz w:val="16"/>
        </w:rPr>
        <w:t>.</w:t>
      </w:r>
    </w:p>
    <w:p w14:paraId="4B7567DB" w14:textId="77777777" w:rsidR="00C42502" w:rsidRPr="0003068D" w:rsidRDefault="00C42502" w:rsidP="00233239">
      <w:pPr>
        <w:jc w:val="both"/>
        <w:rPr>
          <w:rFonts w:asciiTheme="majorHAnsi" w:hAnsiTheme="majorHAnsi" w:cstheme="majorHAnsi"/>
          <w:i/>
          <w:iCs/>
          <w:color w:val="EE0000"/>
          <w:sz w:val="22"/>
          <w:szCs w:val="22"/>
          <w:highlight w:val="yellow"/>
        </w:rPr>
      </w:pPr>
    </w:p>
    <w:p w14:paraId="23C5CE38" w14:textId="77777777" w:rsidR="00AB45F0" w:rsidRPr="0003068D" w:rsidRDefault="00AB45F0">
      <w:pPr>
        <w:rPr>
          <w:rFonts w:asciiTheme="majorHAnsi" w:eastAsia="Calibri" w:hAnsiTheme="majorHAnsi" w:cstheme="majorHAnsi"/>
          <w:b/>
          <w:color w:val="EE0000"/>
          <w:sz w:val="22"/>
          <w:szCs w:val="22"/>
        </w:rPr>
      </w:pPr>
      <w:r>
        <w:br w:type="page"/>
      </w:r>
    </w:p>
    <w:p w14:paraId="2162C582" w14:textId="0F0DE98F" w:rsidR="00603CF3" w:rsidRPr="00751AFF" w:rsidRDefault="00603CF3" w:rsidP="00603CF3">
      <w:pPr>
        <w:rPr>
          <w:rFonts w:asciiTheme="majorHAnsi" w:eastAsia="Calibri" w:hAnsiTheme="majorHAnsi" w:cstheme="majorHAnsi"/>
          <w:b/>
          <w:sz w:val="22"/>
          <w:szCs w:val="22"/>
        </w:rPr>
      </w:pPr>
      <w:r>
        <w:rPr>
          <w:rFonts w:asciiTheme="majorHAnsi" w:hAnsiTheme="majorHAnsi"/>
          <w:b/>
          <w:sz w:val="22"/>
        </w:rPr>
        <w:lastRenderedPageBreak/>
        <w:t>RECLASSIFIED STATEMENT OF FINANCIAL POSITION</w:t>
      </w:r>
    </w:p>
    <w:p w14:paraId="03068E7B" w14:textId="5AA3811F" w:rsidR="001A77B9" w:rsidRPr="0003068D" w:rsidRDefault="001A77B9" w:rsidP="00603CF3">
      <w:pPr>
        <w:rPr>
          <w:rFonts w:asciiTheme="majorHAnsi" w:eastAsia="Calibri" w:hAnsiTheme="majorHAnsi" w:cstheme="majorHAnsi"/>
          <w:b/>
          <w:color w:val="EE0000"/>
          <w:sz w:val="22"/>
          <w:szCs w:val="22"/>
          <w:highlight w:val="yellow"/>
          <w:lang w:eastAsia="en-US"/>
        </w:rPr>
      </w:pPr>
    </w:p>
    <w:tbl>
      <w:tblPr>
        <w:tblW w:w="5000" w:type="pct"/>
        <w:jc w:val="center"/>
        <w:tblCellMar>
          <w:left w:w="70" w:type="dxa"/>
          <w:right w:w="70" w:type="dxa"/>
        </w:tblCellMar>
        <w:tblLook w:val="04A0" w:firstRow="1" w:lastRow="0" w:firstColumn="1" w:lastColumn="0" w:noHBand="0" w:noVBand="1"/>
      </w:tblPr>
      <w:tblGrid>
        <w:gridCol w:w="5599"/>
        <w:gridCol w:w="1335"/>
        <w:gridCol w:w="1335"/>
        <w:gridCol w:w="745"/>
      </w:tblGrid>
      <w:tr w:rsidR="00751AFF" w:rsidRPr="00F77CCF" w14:paraId="62CAFB74" w14:textId="77777777" w:rsidTr="00D40378">
        <w:trPr>
          <w:trHeight w:val="255"/>
          <w:jc w:val="center"/>
        </w:trPr>
        <w:tc>
          <w:tcPr>
            <w:tcW w:w="3121" w:type="pct"/>
            <w:tcBorders>
              <w:top w:val="nil"/>
              <w:left w:val="nil"/>
              <w:bottom w:val="nil"/>
              <w:right w:val="nil"/>
            </w:tcBorders>
            <w:noWrap/>
            <w:vAlign w:val="center"/>
            <w:hideMark/>
          </w:tcPr>
          <w:p w14:paraId="5B696271" w14:textId="77777777" w:rsidR="00751AFF" w:rsidRPr="00F77CCF" w:rsidRDefault="00751AFF" w:rsidP="00D40378"/>
        </w:tc>
        <w:tc>
          <w:tcPr>
            <w:tcW w:w="756" w:type="pct"/>
            <w:tcBorders>
              <w:top w:val="nil"/>
              <w:left w:val="nil"/>
              <w:bottom w:val="nil"/>
              <w:right w:val="nil"/>
            </w:tcBorders>
            <w:noWrap/>
            <w:vAlign w:val="center"/>
            <w:hideMark/>
          </w:tcPr>
          <w:p w14:paraId="74F26E33" w14:textId="77777777" w:rsidR="00751AFF" w:rsidRPr="00F77CCF" w:rsidRDefault="00751AFF" w:rsidP="00D40378"/>
        </w:tc>
        <w:tc>
          <w:tcPr>
            <w:tcW w:w="1123" w:type="pct"/>
            <w:gridSpan w:val="2"/>
            <w:tcBorders>
              <w:top w:val="nil"/>
              <w:left w:val="nil"/>
              <w:bottom w:val="nil"/>
              <w:right w:val="nil"/>
            </w:tcBorders>
            <w:noWrap/>
            <w:vAlign w:val="center"/>
            <w:hideMark/>
          </w:tcPr>
          <w:p w14:paraId="137AA2FA" w14:textId="77777777" w:rsidR="00751AFF" w:rsidRPr="00F77CCF" w:rsidRDefault="00751AFF" w:rsidP="00D40378">
            <w:pPr>
              <w:jc w:val="right"/>
              <w:rPr>
                <w:rFonts w:ascii="Roboto Light" w:hAnsi="Roboto Light" w:cs="Arial"/>
                <w:sz w:val="16"/>
                <w:szCs w:val="16"/>
              </w:rPr>
            </w:pPr>
            <w:r>
              <w:rPr>
                <w:rFonts w:ascii="Roboto Light" w:hAnsi="Roboto Light"/>
                <w:sz w:val="16"/>
              </w:rPr>
              <w:t>thousand euros</w:t>
            </w:r>
          </w:p>
        </w:tc>
      </w:tr>
      <w:tr w:rsidR="00751AFF" w:rsidRPr="00F77CCF" w14:paraId="42FBE87B" w14:textId="77777777" w:rsidTr="00D40378">
        <w:trPr>
          <w:trHeight w:val="720"/>
          <w:jc w:val="center"/>
        </w:trPr>
        <w:tc>
          <w:tcPr>
            <w:tcW w:w="3121" w:type="pct"/>
            <w:tcBorders>
              <w:top w:val="nil"/>
              <w:left w:val="nil"/>
              <w:bottom w:val="single" w:sz="4" w:space="0" w:color="auto"/>
              <w:right w:val="nil"/>
            </w:tcBorders>
            <w:noWrap/>
            <w:vAlign w:val="center"/>
            <w:hideMark/>
          </w:tcPr>
          <w:p w14:paraId="201D788B" w14:textId="77777777" w:rsidR="00751AFF" w:rsidRPr="00F77CCF" w:rsidRDefault="00751AFF" w:rsidP="00D40378">
            <w:pPr>
              <w:rPr>
                <w:rFonts w:ascii="Roboto Light" w:hAnsi="Roboto Light" w:cs="Arial"/>
                <w:sz w:val="16"/>
                <w:szCs w:val="16"/>
              </w:rPr>
            </w:pPr>
            <w:r>
              <w:rPr>
                <w:rFonts w:ascii="Roboto Light" w:hAnsi="Roboto Light"/>
                <w:sz w:val="16"/>
              </w:rPr>
              <w:t> </w:t>
            </w:r>
          </w:p>
        </w:tc>
        <w:tc>
          <w:tcPr>
            <w:tcW w:w="756" w:type="pct"/>
            <w:tcBorders>
              <w:top w:val="nil"/>
              <w:left w:val="nil"/>
              <w:bottom w:val="single" w:sz="4" w:space="0" w:color="auto"/>
              <w:right w:val="nil"/>
            </w:tcBorders>
            <w:shd w:val="clear" w:color="000000" w:fill="EEECE1"/>
            <w:vAlign w:val="center"/>
            <w:hideMark/>
          </w:tcPr>
          <w:p w14:paraId="25A63973" w14:textId="77777777" w:rsidR="00751AFF" w:rsidRPr="00F77CCF" w:rsidRDefault="00751AFF" w:rsidP="00D40378">
            <w:pPr>
              <w:jc w:val="center"/>
              <w:rPr>
                <w:rFonts w:ascii="Roboto Light" w:hAnsi="Roboto Light" w:cs="Arial"/>
                <w:b/>
                <w:bCs/>
                <w:sz w:val="18"/>
                <w:szCs w:val="18"/>
              </w:rPr>
            </w:pPr>
            <w:r>
              <w:rPr>
                <w:rFonts w:ascii="Roboto Light" w:hAnsi="Roboto Light"/>
                <w:b/>
                <w:sz w:val="18"/>
              </w:rPr>
              <w:t>30.09.2025</w:t>
            </w:r>
          </w:p>
        </w:tc>
        <w:tc>
          <w:tcPr>
            <w:tcW w:w="756" w:type="pct"/>
            <w:tcBorders>
              <w:top w:val="nil"/>
              <w:left w:val="nil"/>
              <w:bottom w:val="single" w:sz="4" w:space="0" w:color="auto"/>
              <w:right w:val="nil"/>
            </w:tcBorders>
            <w:vAlign w:val="center"/>
            <w:hideMark/>
          </w:tcPr>
          <w:p w14:paraId="74F6B928" w14:textId="77777777" w:rsidR="00751AFF" w:rsidRPr="00F77CCF" w:rsidRDefault="00751AFF" w:rsidP="00D40378">
            <w:pPr>
              <w:jc w:val="center"/>
              <w:rPr>
                <w:rFonts w:ascii="Roboto Light" w:hAnsi="Roboto Light" w:cs="Arial"/>
                <w:b/>
                <w:bCs/>
                <w:sz w:val="18"/>
                <w:szCs w:val="18"/>
              </w:rPr>
            </w:pPr>
            <w:r>
              <w:rPr>
                <w:rFonts w:ascii="Roboto Light" w:hAnsi="Roboto Light"/>
                <w:b/>
                <w:sz w:val="18"/>
              </w:rPr>
              <w:t>31.12.2024</w:t>
            </w:r>
          </w:p>
        </w:tc>
        <w:tc>
          <w:tcPr>
            <w:tcW w:w="367" w:type="pct"/>
            <w:tcBorders>
              <w:top w:val="nil"/>
              <w:left w:val="nil"/>
              <w:bottom w:val="single" w:sz="4" w:space="0" w:color="auto"/>
              <w:right w:val="nil"/>
            </w:tcBorders>
            <w:shd w:val="clear" w:color="000000" w:fill="EEECE1"/>
            <w:vAlign w:val="center"/>
            <w:hideMark/>
          </w:tcPr>
          <w:p w14:paraId="382A1F34" w14:textId="77777777" w:rsidR="00751AFF" w:rsidRPr="00F77CCF" w:rsidRDefault="00751AFF" w:rsidP="00D40378">
            <w:pPr>
              <w:jc w:val="center"/>
              <w:rPr>
                <w:rFonts w:ascii="Roboto Light" w:hAnsi="Roboto Light" w:cs="Arial"/>
                <w:b/>
                <w:bCs/>
                <w:sz w:val="18"/>
                <w:szCs w:val="18"/>
              </w:rPr>
            </w:pPr>
            <w:r>
              <w:rPr>
                <w:rFonts w:ascii="Roboto Light" w:hAnsi="Roboto Light"/>
                <w:b/>
                <w:sz w:val="18"/>
              </w:rPr>
              <w:t>Change %</w:t>
            </w:r>
          </w:p>
        </w:tc>
      </w:tr>
      <w:tr w:rsidR="00751AFF" w:rsidRPr="00F77CCF" w14:paraId="2ED76E31" w14:textId="77777777" w:rsidTr="00D40378">
        <w:trPr>
          <w:trHeight w:val="255"/>
          <w:jc w:val="center"/>
        </w:trPr>
        <w:tc>
          <w:tcPr>
            <w:tcW w:w="3121" w:type="pct"/>
            <w:tcBorders>
              <w:top w:val="nil"/>
              <w:left w:val="nil"/>
              <w:bottom w:val="nil"/>
              <w:right w:val="nil"/>
            </w:tcBorders>
            <w:noWrap/>
            <w:vAlign w:val="center"/>
            <w:hideMark/>
          </w:tcPr>
          <w:p w14:paraId="55128150" w14:textId="77777777" w:rsidR="00751AFF" w:rsidRPr="00F77CCF" w:rsidRDefault="00751AFF" w:rsidP="00D40378">
            <w:pPr>
              <w:rPr>
                <w:rFonts w:ascii="Roboto Light" w:hAnsi="Roboto Light" w:cs="Arial"/>
                <w:sz w:val="18"/>
                <w:szCs w:val="18"/>
              </w:rPr>
            </w:pPr>
            <w:r>
              <w:rPr>
                <w:rFonts w:ascii="Roboto Light" w:hAnsi="Roboto Light"/>
                <w:sz w:val="18"/>
              </w:rPr>
              <w:t>Non‐current assets</w:t>
            </w:r>
          </w:p>
        </w:tc>
        <w:tc>
          <w:tcPr>
            <w:tcW w:w="756" w:type="pct"/>
            <w:tcBorders>
              <w:top w:val="nil"/>
              <w:left w:val="nil"/>
              <w:bottom w:val="nil"/>
              <w:right w:val="nil"/>
            </w:tcBorders>
            <w:shd w:val="clear" w:color="000000" w:fill="EEECE1"/>
            <w:noWrap/>
            <w:vAlign w:val="center"/>
            <w:hideMark/>
          </w:tcPr>
          <w:p w14:paraId="41F7B09B" w14:textId="77777777" w:rsidR="00751AFF" w:rsidRPr="00F77CCF" w:rsidRDefault="00751AFF" w:rsidP="00D40378">
            <w:pPr>
              <w:jc w:val="right"/>
              <w:rPr>
                <w:rFonts w:ascii="Roboto Light" w:hAnsi="Roboto Light" w:cs="Arial"/>
                <w:sz w:val="18"/>
                <w:szCs w:val="18"/>
              </w:rPr>
            </w:pPr>
            <w:r>
              <w:rPr>
                <w:rFonts w:ascii="Roboto Light" w:hAnsi="Roboto Light"/>
                <w:sz w:val="18"/>
              </w:rPr>
              <w:t>8,773,505</w:t>
            </w:r>
          </w:p>
        </w:tc>
        <w:tc>
          <w:tcPr>
            <w:tcW w:w="756" w:type="pct"/>
            <w:tcBorders>
              <w:top w:val="nil"/>
              <w:left w:val="nil"/>
              <w:bottom w:val="nil"/>
              <w:right w:val="nil"/>
            </w:tcBorders>
            <w:noWrap/>
            <w:vAlign w:val="center"/>
            <w:hideMark/>
          </w:tcPr>
          <w:p w14:paraId="563EFC47" w14:textId="77777777" w:rsidR="00751AFF" w:rsidRPr="00F77CCF" w:rsidRDefault="00751AFF" w:rsidP="00D40378">
            <w:pPr>
              <w:jc w:val="right"/>
              <w:rPr>
                <w:rFonts w:ascii="Roboto Light" w:hAnsi="Roboto Light" w:cs="Arial"/>
                <w:sz w:val="18"/>
                <w:szCs w:val="18"/>
              </w:rPr>
            </w:pPr>
            <w:r>
              <w:rPr>
                <w:rFonts w:ascii="Roboto Light" w:hAnsi="Roboto Light"/>
                <w:sz w:val="18"/>
              </w:rPr>
              <w:t>8,414,310</w:t>
            </w:r>
          </w:p>
        </w:tc>
        <w:tc>
          <w:tcPr>
            <w:tcW w:w="367" w:type="pct"/>
            <w:tcBorders>
              <w:top w:val="nil"/>
              <w:left w:val="nil"/>
              <w:bottom w:val="nil"/>
              <w:right w:val="nil"/>
            </w:tcBorders>
            <w:shd w:val="clear" w:color="000000" w:fill="EEECE1"/>
            <w:noWrap/>
            <w:vAlign w:val="center"/>
            <w:hideMark/>
          </w:tcPr>
          <w:p w14:paraId="4961250E" w14:textId="77777777" w:rsidR="00751AFF" w:rsidRPr="00F77CCF" w:rsidRDefault="00751AFF" w:rsidP="00D40378">
            <w:pPr>
              <w:jc w:val="right"/>
              <w:rPr>
                <w:rFonts w:ascii="Roboto Light" w:hAnsi="Roboto Light" w:cs="Arial"/>
                <w:sz w:val="18"/>
                <w:szCs w:val="18"/>
              </w:rPr>
            </w:pPr>
            <w:r>
              <w:rPr>
                <w:rFonts w:ascii="Roboto Light" w:hAnsi="Roboto Light"/>
                <w:sz w:val="18"/>
              </w:rPr>
              <w:t>4.3</w:t>
            </w:r>
          </w:p>
        </w:tc>
      </w:tr>
      <w:tr w:rsidR="00751AFF" w:rsidRPr="00F77CCF" w14:paraId="3EF55199" w14:textId="77777777" w:rsidTr="00D40378">
        <w:trPr>
          <w:trHeight w:val="255"/>
          <w:jc w:val="center"/>
        </w:trPr>
        <w:tc>
          <w:tcPr>
            <w:tcW w:w="3121" w:type="pct"/>
            <w:tcBorders>
              <w:top w:val="nil"/>
              <w:left w:val="nil"/>
              <w:bottom w:val="nil"/>
              <w:right w:val="nil"/>
            </w:tcBorders>
            <w:noWrap/>
            <w:vAlign w:val="center"/>
            <w:hideMark/>
          </w:tcPr>
          <w:p w14:paraId="19AB1B0E" w14:textId="77777777" w:rsidR="00751AFF" w:rsidRPr="00F77CCF" w:rsidRDefault="00751AFF" w:rsidP="00D40378">
            <w:pPr>
              <w:rPr>
                <w:rFonts w:ascii="Roboto Light" w:hAnsi="Roboto Light" w:cs="Arial"/>
                <w:sz w:val="18"/>
                <w:szCs w:val="18"/>
              </w:rPr>
            </w:pPr>
            <w:r>
              <w:rPr>
                <w:rFonts w:ascii="Roboto Light" w:hAnsi="Roboto Light"/>
                <w:sz w:val="18"/>
              </w:rPr>
              <w:t>Other non‐current assets (liabilities)</w:t>
            </w:r>
          </w:p>
        </w:tc>
        <w:tc>
          <w:tcPr>
            <w:tcW w:w="756" w:type="pct"/>
            <w:tcBorders>
              <w:top w:val="nil"/>
              <w:left w:val="nil"/>
              <w:bottom w:val="nil"/>
              <w:right w:val="nil"/>
            </w:tcBorders>
            <w:shd w:val="clear" w:color="000000" w:fill="EEECE1"/>
            <w:noWrap/>
            <w:vAlign w:val="center"/>
            <w:hideMark/>
          </w:tcPr>
          <w:p w14:paraId="5439A5FA" w14:textId="77777777" w:rsidR="00751AFF" w:rsidRPr="00F77CCF" w:rsidRDefault="00751AFF" w:rsidP="00D40378">
            <w:pPr>
              <w:jc w:val="right"/>
              <w:rPr>
                <w:rFonts w:ascii="Roboto Light" w:hAnsi="Roboto Light" w:cs="Arial"/>
                <w:sz w:val="18"/>
                <w:szCs w:val="18"/>
              </w:rPr>
            </w:pPr>
            <w:r>
              <w:rPr>
                <w:rFonts w:ascii="Roboto Light" w:hAnsi="Roboto Light"/>
                <w:sz w:val="18"/>
              </w:rPr>
              <w:t>(756,637)</w:t>
            </w:r>
          </w:p>
        </w:tc>
        <w:tc>
          <w:tcPr>
            <w:tcW w:w="756" w:type="pct"/>
            <w:tcBorders>
              <w:top w:val="nil"/>
              <w:left w:val="nil"/>
              <w:bottom w:val="nil"/>
              <w:right w:val="nil"/>
            </w:tcBorders>
            <w:noWrap/>
            <w:vAlign w:val="center"/>
            <w:hideMark/>
          </w:tcPr>
          <w:p w14:paraId="42A14302" w14:textId="77777777" w:rsidR="00751AFF" w:rsidRPr="00F77CCF" w:rsidRDefault="00751AFF" w:rsidP="00D40378">
            <w:pPr>
              <w:jc w:val="right"/>
              <w:rPr>
                <w:rFonts w:ascii="Roboto Light" w:hAnsi="Roboto Light" w:cs="Arial"/>
                <w:sz w:val="18"/>
                <w:szCs w:val="18"/>
              </w:rPr>
            </w:pPr>
            <w:r>
              <w:rPr>
                <w:rFonts w:ascii="Roboto Light" w:hAnsi="Roboto Light"/>
                <w:sz w:val="18"/>
              </w:rPr>
              <w:t>(619,491)</w:t>
            </w:r>
          </w:p>
        </w:tc>
        <w:tc>
          <w:tcPr>
            <w:tcW w:w="367" w:type="pct"/>
            <w:tcBorders>
              <w:top w:val="nil"/>
              <w:left w:val="nil"/>
              <w:bottom w:val="nil"/>
              <w:right w:val="nil"/>
            </w:tcBorders>
            <w:shd w:val="clear" w:color="000000" w:fill="EEECE1"/>
            <w:noWrap/>
            <w:vAlign w:val="center"/>
            <w:hideMark/>
          </w:tcPr>
          <w:p w14:paraId="3F947FBD" w14:textId="77777777" w:rsidR="00751AFF" w:rsidRPr="00F77CCF" w:rsidRDefault="00751AFF" w:rsidP="00D40378">
            <w:pPr>
              <w:jc w:val="right"/>
              <w:rPr>
                <w:rFonts w:ascii="Roboto Light" w:hAnsi="Roboto Light" w:cs="Arial"/>
                <w:sz w:val="18"/>
                <w:szCs w:val="18"/>
              </w:rPr>
            </w:pPr>
            <w:r>
              <w:rPr>
                <w:rFonts w:ascii="Roboto Light" w:hAnsi="Roboto Light"/>
                <w:sz w:val="18"/>
              </w:rPr>
              <w:t>22.1</w:t>
            </w:r>
          </w:p>
        </w:tc>
      </w:tr>
      <w:tr w:rsidR="00751AFF" w:rsidRPr="00F77CCF" w14:paraId="4107DFE3" w14:textId="77777777" w:rsidTr="00D40378">
        <w:trPr>
          <w:trHeight w:val="255"/>
          <w:jc w:val="center"/>
        </w:trPr>
        <w:tc>
          <w:tcPr>
            <w:tcW w:w="3121" w:type="pct"/>
            <w:tcBorders>
              <w:top w:val="nil"/>
              <w:left w:val="nil"/>
              <w:bottom w:val="nil"/>
              <w:right w:val="nil"/>
            </w:tcBorders>
            <w:noWrap/>
            <w:vAlign w:val="center"/>
            <w:hideMark/>
          </w:tcPr>
          <w:p w14:paraId="64482F8C" w14:textId="77777777" w:rsidR="00751AFF" w:rsidRPr="00F77CCF" w:rsidRDefault="00751AFF" w:rsidP="00D40378">
            <w:pPr>
              <w:rPr>
                <w:rFonts w:ascii="Roboto Light" w:hAnsi="Roboto Light" w:cs="Arial"/>
                <w:sz w:val="18"/>
                <w:szCs w:val="18"/>
              </w:rPr>
            </w:pPr>
            <w:r>
              <w:rPr>
                <w:rFonts w:ascii="Roboto Light" w:hAnsi="Roboto Light"/>
                <w:sz w:val="18"/>
              </w:rPr>
              <w:t>Net Working Capital</w:t>
            </w:r>
          </w:p>
        </w:tc>
        <w:tc>
          <w:tcPr>
            <w:tcW w:w="756" w:type="pct"/>
            <w:tcBorders>
              <w:top w:val="nil"/>
              <w:left w:val="nil"/>
              <w:bottom w:val="nil"/>
              <w:right w:val="nil"/>
            </w:tcBorders>
            <w:shd w:val="clear" w:color="000000" w:fill="EEECE1"/>
            <w:noWrap/>
            <w:vAlign w:val="center"/>
            <w:hideMark/>
          </w:tcPr>
          <w:p w14:paraId="40550D50" w14:textId="77777777" w:rsidR="00751AFF" w:rsidRPr="00F77CCF" w:rsidRDefault="00751AFF" w:rsidP="00D40378">
            <w:pPr>
              <w:jc w:val="right"/>
              <w:rPr>
                <w:rFonts w:ascii="Roboto Light" w:hAnsi="Roboto Light" w:cs="Arial"/>
                <w:sz w:val="18"/>
                <w:szCs w:val="18"/>
              </w:rPr>
            </w:pPr>
            <w:r>
              <w:rPr>
                <w:rFonts w:ascii="Roboto Light" w:hAnsi="Roboto Light"/>
                <w:sz w:val="18"/>
              </w:rPr>
              <w:t>187,349</w:t>
            </w:r>
          </w:p>
        </w:tc>
        <w:tc>
          <w:tcPr>
            <w:tcW w:w="756" w:type="pct"/>
            <w:tcBorders>
              <w:top w:val="nil"/>
              <w:left w:val="nil"/>
              <w:bottom w:val="nil"/>
              <w:right w:val="nil"/>
            </w:tcBorders>
            <w:noWrap/>
            <w:vAlign w:val="center"/>
            <w:hideMark/>
          </w:tcPr>
          <w:p w14:paraId="19EC8EC8" w14:textId="77777777" w:rsidR="00751AFF" w:rsidRPr="00F77CCF" w:rsidRDefault="00751AFF" w:rsidP="00D40378">
            <w:pPr>
              <w:jc w:val="right"/>
              <w:rPr>
                <w:rFonts w:ascii="Roboto Light" w:hAnsi="Roboto Light" w:cs="Arial"/>
                <w:sz w:val="18"/>
                <w:szCs w:val="18"/>
              </w:rPr>
            </w:pPr>
            <w:r>
              <w:rPr>
                <w:rFonts w:ascii="Roboto Light" w:hAnsi="Roboto Light"/>
                <w:sz w:val="18"/>
              </w:rPr>
              <w:t>(11,778)</w:t>
            </w:r>
          </w:p>
        </w:tc>
        <w:tc>
          <w:tcPr>
            <w:tcW w:w="367" w:type="pct"/>
            <w:tcBorders>
              <w:top w:val="nil"/>
              <w:left w:val="nil"/>
              <w:bottom w:val="nil"/>
              <w:right w:val="nil"/>
            </w:tcBorders>
            <w:shd w:val="clear" w:color="000000" w:fill="EEECE1"/>
            <w:noWrap/>
            <w:vAlign w:val="center"/>
            <w:hideMark/>
          </w:tcPr>
          <w:p w14:paraId="232E4488" w14:textId="77777777" w:rsidR="00751AFF" w:rsidRPr="00F77CCF" w:rsidRDefault="00751AFF" w:rsidP="00D40378">
            <w:pPr>
              <w:jc w:val="right"/>
              <w:rPr>
                <w:rFonts w:ascii="Roboto Light" w:hAnsi="Roboto Light" w:cs="Arial"/>
                <w:sz w:val="18"/>
                <w:szCs w:val="18"/>
              </w:rPr>
            </w:pPr>
            <w:r>
              <w:rPr>
                <w:rFonts w:ascii="Roboto Light" w:hAnsi="Roboto Light"/>
                <w:sz w:val="18"/>
              </w:rPr>
              <w:t>(*)</w:t>
            </w:r>
          </w:p>
        </w:tc>
      </w:tr>
      <w:tr w:rsidR="00751AFF" w:rsidRPr="00F77CCF" w14:paraId="07552283" w14:textId="77777777" w:rsidTr="00D40378">
        <w:trPr>
          <w:trHeight w:val="255"/>
          <w:jc w:val="center"/>
        </w:trPr>
        <w:tc>
          <w:tcPr>
            <w:tcW w:w="3121" w:type="pct"/>
            <w:tcBorders>
              <w:top w:val="nil"/>
              <w:left w:val="nil"/>
              <w:bottom w:val="nil"/>
              <w:right w:val="nil"/>
            </w:tcBorders>
            <w:noWrap/>
            <w:vAlign w:val="center"/>
            <w:hideMark/>
          </w:tcPr>
          <w:p w14:paraId="6624D011" w14:textId="77777777" w:rsidR="00751AFF" w:rsidRPr="00F77CCF" w:rsidRDefault="00751AFF" w:rsidP="00D40378">
            <w:pPr>
              <w:rPr>
                <w:rFonts w:ascii="Roboto Light" w:hAnsi="Roboto Light" w:cs="Arial"/>
                <w:sz w:val="18"/>
                <w:szCs w:val="18"/>
              </w:rPr>
            </w:pPr>
            <w:r>
              <w:rPr>
                <w:rFonts w:ascii="Roboto Light" w:hAnsi="Roboto Light"/>
                <w:sz w:val="18"/>
              </w:rPr>
              <w:t>Deferred tax assets (liabilities)</w:t>
            </w:r>
          </w:p>
        </w:tc>
        <w:tc>
          <w:tcPr>
            <w:tcW w:w="756" w:type="pct"/>
            <w:tcBorders>
              <w:top w:val="nil"/>
              <w:left w:val="nil"/>
              <w:bottom w:val="nil"/>
              <w:right w:val="nil"/>
            </w:tcBorders>
            <w:shd w:val="clear" w:color="000000" w:fill="EEECE1"/>
            <w:noWrap/>
            <w:vAlign w:val="center"/>
            <w:hideMark/>
          </w:tcPr>
          <w:p w14:paraId="2D4F1CC1" w14:textId="77777777" w:rsidR="00751AFF" w:rsidRPr="00F77CCF" w:rsidRDefault="00751AFF" w:rsidP="00D40378">
            <w:pPr>
              <w:jc w:val="right"/>
              <w:rPr>
                <w:rFonts w:ascii="Roboto Light" w:hAnsi="Roboto Light" w:cs="Arial"/>
                <w:sz w:val="18"/>
                <w:szCs w:val="18"/>
              </w:rPr>
            </w:pPr>
            <w:r>
              <w:rPr>
                <w:rFonts w:ascii="Roboto Light" w:hAnsi="Roboto Light"/>
                <w:sz w:val="18"/>
              </w:rPr>
              <w:t>283,764</w:t>
            </w:r>
          </w:p>
        </w:tc>
        <w:tc>
          <w:tcPr>
            <w:tcW w:w="756" w:type="pct"/>
            <w:tcBorders>
              <w:top w:val="nil"/>
              <w:left w:val="nil"/>
              <w:bottom w:val="nil"/>
              <w:right w:val="nil"/>
            </w:tcBorders>
            <w:noWrap/>
            <w:vAlign w:val="center"/>
            <w:hideMark/>
          </w:tcPr>
          <w:p w14:paraId="4F0EE643" w14:textId="77777777" w:rsidR="00751AFF" w:rsidRPr="00F77CCF" w:rsidRDefault="00751AFF" w:rsidP="00D40378">
            <w:pPr>
              <w:jc w:val="right"/>
              <w:rPr>
                <w:rFonts w:ascii="Roboto Light" w:hAnsi="Roboto Light" w:cs="Arial"/>
                <w:sz w:val="18"/>
                <w:szCs w:val="18"/>
              </w:rPr>
            </w:pPr>
            <w:r>
              <w:rPr>
                <w:rFonts w:ascii="Roboto Light" w:hAnsi="Roboto Light"/>
                <w:sz w:val="18"/>
              </w:rPr>
              <w:t>272,676</w:t>
            </w:r>
          </w:p>
        </w:tc>
        <w:tc>
          <w:tcPr>
            <w:tcW w:w="367" w:type="pct"/>
            <w:tcBorders>
              <w:top w:val="nil"/>
              <w:left w:val="nil"/>
              <w:bottom w:val="nil"/>
              <w:right w:val="nil"/>
            </w:tcBorders>
            <w:shd w:val="clear" w:color="000000" w:fill="EEECE1"/>
            <w:noWrap/>
            <w:vAlign w:val="center"/>
            <w:hideMark/>
          </w:tcPr>
          <w:p w14:paraId="09A4837E" w14:textId="77777777" w:rsidR="00751AFF" w:rsidRPr="00F77CCF" w:rsidRDefault="00751AFF" w:rsidP="00D40378">
            <w:pPr>
              <w:jc w:val="right"/>
              <w:rPr>
                <w:rFonts w:ascii="Roboto Light" w:hAnsi="Roboto Light" w:cs="Arial"/>
                <w:sz w:val="18"/>
                <w:szCs w:val="18"/>
              </w:rPr>
            </w:pPr>
            <w:r>
              <w:rPr>
                <w:rFonts w:ascii="Roboto Light" w:hAnsi="Roboto Light"/>
                <w:sz w:val="18"/>
              </w:rPr>
              <w:t>4.1</w:t>
            </w:r>
          </w:p>
        </w:tc>
      </w:tr>
      <w:tr w:rsidR="00751AFF" w:rsidRPr="00F77CCF" w14:paraId="4346F26B" w14:textId="77777777" w:rsidTr="00D40378">
        <w:trPr>
          <w:trHeight w:val="255"/>
          <w:jc w:val="center"/>
        </w:trPr>
        <w:tc>
          <w:tcPr>
            <w:tcW w:w="3121" w:type="pct"/>
            <w:tcBorders>
              <w:top w:val="nil"/>
              <w:left w:val="nil"/>
              <w:bottom w:val="nil"/>
              <w:right w:val="nil"/>
            </w:tcBorders>
            <w:noWrap/>
            <w:vAlign w:val="center"/>
            <w:hideMark/>
          </w:tcPr>
          <w:p w14:paraId="6819B5BB" w14:textId="77777777" w:rsidR="00751AFF" w:rsidRPr="00F77CCF" w:rsidRDefault="00751AFF" w:rsidP="00D40378">
            <w:pPr>
              <w:rPr>
                <w:rFonts w:ascii="Roboto Light" w:hAnsi="Roboto Light" w:cs="Arial"/>
                <w:sz w:val="18"/>
                <w:szCs w:val="18"/>
              </w:rPr>
            </w:pPr>
            <w:r>
              <w:rPr>
                <w:rFonts w:ascii="Roboto Light" w:hAnsi="Roboto Light"/>
                <w:sz w:val="18"/>
              </w:rPr>
              <w:t>Provisions for risks and employee benefits</w:t>
            </w:r>
          </w:p>
        </w:tc>
        <w:tc>
          <w:tcPr>
            <w:tcW w:w="756" w:type="pct"/>
            <w:tcBorders>
              <w:top w:val="nil"/>
              <w:left w:val="nil"/>
              <w:bottom w:val="nil"/>
              <w:right w:val="nil"/>
            </w:tcBorders>
            <w:shd w:val="clear" w:color="000000" w:fill="EEECE1"/>
            <w:noWrap/>
            <w:vAlign w:val="center"/>
            <w:hideMark/>
          </w:tcPr>
          <w:p w14:paraId="3D5DC557" w14:textId="77777777" w:rsidR="00751AFF" w:rsidRPr="00F77CCF" w:rsidRDefault="00751AFF" w:rsidP="00D40378">
            <w:pPr>
              <w:jc w:val="right"/>
              <w:rPr>
                <w:rFonts w:ascii="Roboto Light" w:hAnsi="Roboto Light" w:cs="Arial"/>
                <w:sz w:val="18"/>
                <w:szCs w:val="18"/>
              </w:rPr>
            </w:pPr>
            <w:r>
              <w:rPr>
                <w:rFonts w:ascii="Roboto Light" w:hAnsi="Roboto Light"/>
                <w:sz w:val="18"/>
              </w:rPr>
              <w:t>(587,191)</w:t>
            </w:r>
          </w:p>
        </w:tc>
        <w:tc>
          <w:tcPr>
            <w:tcW w:w="756" w:type="pct"/>
            <w:tcBorders>
              <w:top w:val="nil"/>
              <w:left w:val="nil"/>
              <w:bottom w:val="nil"/>
              <w:right w:val="nil"/>
            </w:tcBorders>
            <w:noWrap/>
            <w:vAlign w:val="center"/>
            <w:hideMark/>
          </w:tcPr>
          <w:p w14:paraId="51685E7D" w14:textId="77777777" w:rsidR="00751AFF" w:rsidRPr="00F77CCF" w:rsidRDefault="00751AFF" w:rsidP="00D40378">
            <w:pPr>
              <w:jc w:val="right"/>
              <w:rPr>
                <w:rFonts w:ascii="Roboto Light" w:hAnsi="Roboto Light" w:cs="Arial"/>
                <w:sz w:val="18"/>
                <w:szCs w:val="18"/>
              </w:rPr>
            </w:pPr>
            <w:r>
              <w:rPr>
                <w:rFonts w:ascii="Roboto Light" w:hAnsi="Roboto Light"/>
                <w:sz w:val="18"/>
              </w:rPr>
              <w:t>(630,067)</w:t>
            </w:r>
          </w:p>
        </w:tc>
        <w:tc>
          <w:tcPr>
            <w:tcW w:w="367" w:type="pct"/>
            <w:tcBorders>
              <w:top w:val="nil"/>
              <w:left w:val="nil"/>
              <w:bottom w:val="nil"/>
              <w:right w:val="nil"/>
            </w:tcBorders>
            <w:shd w:val="clear" w:color="000000" w:fill="EEECE1"/>
            <w:noWrap/>
            <w:vAlign w:val="center"/>
            <w:hideMark/>
          </w:tcPr>
          <w:p w14:paraId="2BFDD0FB" w14:textId="77777777" w:rsidR="00751AFF" w:rsidRPr="00F77CCF" w:rsidRDefault="00751AFF" w:rsidP="00D40378">
            <w:pPr>
              <w:jc w:val="right"/>
              <w:rPr>
                <w:rFonts w:ascii="Roboto Light" w:hAnsi="Roboto Light" w:cs="Arial"/>
                <w:sz w:val="18"/>
                <w:szCs w:val="18"/>
              </w:rPr>
            </w:pPr>
            <w:r>
              <w:rPr>
                <w:rFonts w:ascii="Roboto Light" w:hAnsi="Roboto Light"/>
                <w:sz w:val="18"/>
              </w:rPr>
              <w:t>(6.8)</w:t>
            </w:r>
          </w:p>
        </w:tc>
      </w:tr>
      <w:tr w:rsidR="00751AFF" w:rsidRPr="00F77CCF" w14:paraId="5582DE28" w14:textId="77777777" w:rsidTr="00D40378">
        <w:trPr>
          <w:trHeight w:val="255"/>
          <w:jc w:val="center"/>
        </w:trPr>
        <w:tc>
          <w:tcPr>
            <w:tcW w:w="3121" w:type="pct"/>
            <w:tcBorders>
              <w:top w:val="nil"/>
              <w:left w:val="nil"/>
              <w:bottom w:val="nil"/>
              <w:right w:val="nil"/>
            </w:tcBorders>
            <w:noWrap/>
            <w:vAlign w:val="center"/>
            <w:hideMark/>
          </w:tcPr>
          <w:p w14:paraId="13CEC66B" w14:textId="77777777" w:rsidR="00751AFF" w:rsidRPr="00F77CCF" w:rsidRDefault="00751AFF" w:rsidP="00D40378">
            <w:pPr>
              <w:rPr>
                <w:rFonts w:ascii="Roboto Light" w:hAnsi="Roboto Light" w:cs="Arial"/>
                <w:sz w:val="18"/>
                <w:szCs w:val="18"/>
              </w:rPr>
            </w:pPr>
            <w:r>
              <w:rPr>
                <w:rFonts w:ascii="Roboto Light" w:hAnsi="Roboto Light"/>
                <w:sz w:val="18"/>
              </w:rPr>
              <w:t>Assets (Liabilities) held for sale</w:t>
            </w:r>
          </w:p>
        </w:tc>
        <w:tc>
          <w:tcPr>
            <w:tcW w:w="756" w:type="pct"/>
            <w:tcBorders>
              <w:top w:val="nil"/>
              <w:left w:val="nil"/>
              <w:bottom w:val="nil"/>
              <w:right w:val="nil"/>
            </w:tcBorders>
            <w:shd w:val="clear" w:color="000000" w:fill="EEECE1"/>
            <w:noWrap/>
            <w:vAlign w:val="center"/>
            <w:hideMark/>
          </w:tcPr>
          <w:p w14:paraId="7E9EBEA6" w14:textId="77777777" w:rsidR="00751AFF" w:rsidRPr="00F77CCF" w:rsidRDefault="00751AFF" w:rsidP="00D40378">
            <w:pPr>
              <w:jc w:val="right"/>
              <w:rPr>
                <w:rFonts w:ascii="Roboto Light" w:hAnsi="Roboto Light" w:cs="Arial"/>
                <w:sz w:val="18"/>
                <w:szCs w:val="18"/>
              </w:rPr>
            </w:pPr>
            <w:r>
              <w:rPr>
                <w:rFonts w:ascii="Roboto Light" w:hAnsi="Roboto Light"/>
                <w:sz w:val="18"/>
              </w:rPr>
              <w:t>14,143</w:t>
            </w:r>
          </w:p>
        </w:tc>
        <w:tc>
          <w:tcPr>
            <w:tcW w:w="756" w:type="pct"/>
            <w:tcBorders>
              <w:top w:val="nil"/>
              <w:left w:val="nil"/>
              <w:bottom w:val="nil"/>
              <w:right w:val="nil"/>
            </w:tcBorders>
            <w:noWrap/>
            <w:vAlign w:val="center"/>
            <w:hideMark/>
          </w:tcPr>
          <w:p w14:paraId="2B04E6F5" w14:textId="77777777" w:rsidR="00751AFF" w:rsidRPr="00F77CCF" w:rsidRDefault="00751AFF" w:rsidP="00D40378">
            <w:pPr>
              <w:jc w:val="right"/>
              <w:rPr>
                <w:rFonts w:ascii="Roboto Light" w:hAnsi="Roboto Light" w:cs="Arial"/>
                <w:sz w:val="18"/>
                <w:szCs w:val="18"/>
              </w:rPr>
            </w:pPr>
            <w:r>
              <w:rPr>
                <w:rFonts w:ascii="Roboto Light" w:hAnsi="Roboto Light"/>
                <w:sz w:val="18"/>
              </w:rPr>
              <w:t>790</w:t>
            </w:r>
          </w:p>
        </w:tc>
        <w:tc>
          <w:tcPr>
            <w:tcW w:w="367" w:type="pct"/>
            <w:tcBorders>
              <w:top w:val="nil"/>
              <w:left w:val="nil"/>
              <w:bottom w:val="nil"/>
              <w:right w:val="nil"/>
            </w:tcBorders>
            <w:shd w:val="clear" w:color="000000" w:fill="EEECE1"/>
            <w:noWrap/>
            <w:vAlign w:val="center"/>
            <w:hideMark/>
          </w:tcPr>
          <w:p w14:paraId="761D1A32" w14:textId="77777777" w:rsidR="00751AFF" w:rsidRPr="00F77CCF" w:rsidRDefault="00751AFF" w:rsidP="00D40378">
            <w:pPr>
              <w:jc w:val="right"/>
              <w:rPr>
                <w:rFonts w:ascii="Roboto Light" w:hAnsi="Roboto Light" w:cs="Arial"/>
                <w:sz w:val="18"/>
                <w:szCs w:val="18"/>
              </w:rPr>
            </w:pPr>
            <w:r>
              <w:rPr>
                <w:rFonts w:ascii="Roboto Light" w:hAnsi="Roboto Light"/>
                <w:sz w:val="18"/>
              </w:rPr>
              <w:t>(*)</w:t>
            </w:r>
          </w:p>
        </w:tc>
      </w:tr>
      <w:tr w:rsidR="00751AFF" w:rsidRPr="00F77CCF" w14:paraId="34EC01C4" w14:textId="77777777" w:rsidTr="00D40378">
        <w:trPr>
          <w:trHeight w:val="255"/>
          <w:jc w:val="center"/>
        </w:trPr>
        <w:tc>
          <w:tcPr>
            <w:tcW w:w="3121" w:type="pct"/>
            <w:tcBorders>
              <w:top w:val="single" w:sz="4" w:space="0" w:color="auto"/>
              <w:left w:val="nil"/>
              <w:bottom w:val="single" w:sz="4" w:space="0" w:color="auto"/>
              <w:right w:val="nil"/>
            </w:tcBorders>
            <w:noWrap/>
            <w:vAlign w:val="center"/>
            <w:hideMark/>
          </w:tcPr>
          <w:p w14:paraId="18919740" w14:textId="77777777" w:rsidR="00751AFF" w:rsidRPr="00F77CCF" w:rsidRDefault="00751AFF" w:rsidP="00D40378">
            <w:pPr>
              <w:rPr>
                <w:rFonts w:ascii="Roboto Light" w:hAnsi="Roboto Light" w:cs="Arial"/>
                <w:b/>
                <w:bCs/>
                <w:sz w:val="18"/>
                <w:szCs w:val="18"/>
              </w:rPr>
            </w:pPr>
            <w:r>
              <w:rPr>
                <w:rFonts w:ascii="Roboto Light" w:hAnsi="Roboto Light"/>
                <w:b/>
                <w:sz w:val="18"/>
              </w:rPr>
              <w:t>Net invested capital</w:t>
            </w:r>
          </w:p>
        </w:tc>
        <w:tc>
          <w:tcPr>
            <w:tcW w:w="756" w:type="pct"/>
            <w:tcBorders>
              <w:top w:val="single" w:sz="4" w:space="0" w:color="auto"/>
              <w:left w:val="nil"/>
              <w:bottom w:val="single" w:sz="4" w:space="0" w:color="auto"/>
              <w:right w:val="nil"/>
            </w:tcBorders>
            <w:shd w:val="clear" w:color="000000" w:fill="EEECE1"/>
            <w:noWrap/>
            <w:vAlign w:val="center"/>
            <w:hideMark/>
          </w:tcPr>
          <w:p w14:paraId="24642940" w14:textId="77777777" w:rsidR="00751AFF" w:rsidRPr="00F77CCF" w:rsidRDefault="00751AFF" w:rsidP="00D40378">
            <w:pPr>
              <w:jc w:val="right"/>
              <w:rPr>
                <w:rFonts w:ascii="Roboto Light" w:hAnsi="Roboto Light" w:cs="Arial"/>
                <w:b/>
                <w:bCs/>
                <w:sz w:val="18"/>
                <w:szCs w:val="18"/>
              </w:rPr>
            </w:pPr>
            <w:r>
              <w:rPr>
                <w:rFonts w:ascii="Roboto Light" w:hAnsi="Roboto Light"/>
                <w:b/>
                <w:sz w:val="18"/>
              </w:rPr>
              <w:t>7,914,933</w:t>
            </w:r>
          </w:p>
        </w:tc>
        <w:tc>
          <w:tcPr>
            <w:tcW w:w="756" w:type="pct"/>
            <w:tcBorders>
              <w:top w:val="single" w:sz="4" w:space="0" w:color="auto"/>
              <w:left w:val="nil"/>
              <w:bottom w:val="single" w:sz="4" w:space="0" w:color="auto"/>
              <w:right w:val="nil"/>
            </w:tcBorders>
            <w:noWrap/>
            <w:vAlign w:val="center"/>
            <w:hideMark/>
          </w:tcPr>
          <w:p w14:paraId="318F3C2A" w14:textId="77777777" w:rsidR="00751AFF" w:rsidRPr="00F77CCF" w:rsidRDefault="00751AFF" w:rsidP="00D40378">
            <w:pPr>
              <w:jc w:val="right"/>
              <w:rPr>
                <w:rFonts w:ascii="Roboto Light" w:hAnsi="Roboto Light" w:cs="Arial"/>
                <w:b/>
                <w:bCs/>
                <w:sz w:val="18"/>
                <w:szCs w:val="18"/>
              </w:rPr>
            </w:pPr>
            <w:r>
              <w:rPr>
                <w:rFonts w:ascii="Roboto Light" w:hAnsi="Roboto Light"/>
                <w:b/>
                <w:sz w:val="18"/>
              </w:rPr>
              <w:t>7,426,440</w:t>
            </w:r>
          </w:p>
        </w:tc>
        <w:tc>
          <w:tcPr>
            <w:tcW w:w="367" w:type="pct"/>
            <w:tcBorders>
              <w:top w:val="single" w:sz="4" w:space="0" w:color="auto"/>
              <w:left w:val="nil"/>
              <w:bottom w:val="single" w:sz="4" w:space="0" w:color="auto"/>
              <w:right w:val="nil"/>
            </w:tcBorders>
            <w:shd w:val="clear" w:color="000000" w:fill="EEECE1"/>
            <w:noWrap/>
            <w:vAlign w:val="center"/>
            <w:hideMark/>
          </w:tcPr>
          <w:p w14:paraId="5F03EEC6" w14:textId="77777777" w:rsidR="00751AFF" w:rsidRPr="00F77CCF" w:rsidRDefault="00751AFF" w:rsidP="00D40378">
            <w:pPr>
              <w:jc w:val="right"/>
              <w:rPr>
                <w:rFonts w:ascii="Roboto Light" w:hAnsi="Roboto Light" w:cs="Arial"/>
                <w:b/>
                <w:bCs/>
                <w:sz w:val="18"/>
                <w:szCs w:val="18"/>
              </w:rPr>
            </w:pPr>
            <w:r>
              <w:rPr>
                <w:rFonts w:ascii="Roboto Light" w:hAnsi="Roboto Light"/>
                <w:b/>
                <w:sz w:val="18"/>
              </w:rPr>
              <w:t>6.6</w:t>
            </w:r>
          </w:p>
        </w:tc>
      </w:tr>
      <w:tr w:rsidR="00751AFF" w:rsidRPr="00F77CCF" w14:paraId="6D939EE6" w14:textId="77777777" w:rsidTr="00D40378">
        <w:trPr>
          <w:trHeight w:val="255"/>
          <w:jc w:val="center"/>
        </w:trPr>
        <w:tc>
          <w:tcPr>
            <w:tcW w:w="3121" w:type="pct"/>
            <w:tcBorders>
              <w:top w:val="nil"/>
              <w:left w:val="nil"/>
              <w:bottom w:val="nil"/>
              <w:right w:val="nil"/>
            </w:tcBorders>
            <w:noWrap/>
            <w:vAlign w:val="center"/>
            <w:hideMark/>
          </w:tcPr>
          <w:p w14:paraId="5D0C7BE4" w14:textId="77777777" w:rsidR="00751AFF" w:rsidRPr="00F77CCF" w:rsidRDefault="00751AFF" w:rsidP="00D40378">
            <w:pPr>
              <w:rPr>
                <w:rFonts w:ascii="Roboto Light" w:hAnsi="Roboto Light" w:cs="Arial"/>
                <w:sz w:val="18"/>
                <w:szCs w:val="18"/>
              </w:rPr>
            </w:pPr>
            <w:r>
              <w:rPr>
                <w:rFonts w:ascii="Roboto Light" w:hAnsi="Roboto Light"/>
                <w:sz w:val="18"/>
              </w:rPr>
              <w:t>Equity</w:t>
            </w:r>
          </w:p>
        </w:tc>
        <w:tc>
          <w:tcPr>
            <w:tcW w:w="756" w:type="pct"/>
            <w:tcBorders>
              <w:top w:val="nil"/>
              <w:left w:val="nil"/>
              <w:bottom w:val="nil"/>
              <w:right w:val="nil"/>
            </w:tcBorders>
            <w:shd w:val="clear" w:color="000000" w:fill="EEECE1"/>
            <w:noWrap/>
            <w:vAlign w:val="center"/>
            <w:hideMark/>
          </w:tcPr>
          <w:p w14:paraId="42F9C2CE" w14:textId="77777777" w:rsidR="00751AFF" w:rsidRPr="00F77CCF" w:rsidRDefault="00751AFF" w:rsidP="00D40378">
            <w:pPr>
              <w:jc w:val="right"/>
              <w:rPr>
                <w:rFonts w:ascii="Roboto Light" w:hAnsi="Roboto Light" w:cs="Arial"/>
                <w:sz w:val="18"/>
                <w:szCs w:val="18"/>
              </w:rPr>
            </w:pPr>
            <w:r>
              <w:rPr>
                <w:rFonts w:ascii="Roboto Light" w:hAnsi="Roboto Light"/>
                <w:sz w:val="18"/>
              </w:rPr>
              <w:t>3,627,540</w:t>
            </w:r>
          </w:p>
        </w:tc>
        <w:tc>
          <w:tcPr>
            <w:tcW w:w="756" w:type="pct"/>
            <w:tcBorders>
              <w:top w:val="nil"/>
              <w:left w:val="nil"/>
              <w:bottom w:val="nil"/>
              <w:right w:val="nil"/>
            </w:tcBorders>
            <w:noWrap/>
            <w:vAlign w:val="center"/>
            <w:hideMark/>
          </w:tcPr>
          <w:p w14:paraId="02B31EAC" w14:textId="77777777" w:rsidR="00751AFF" w:rsidRPr="00F77CCF" w:rsidRDefault="00751AFF" w:rsidP="00D40378">
            <w:pPr>
              <w:jc w:val="right"/>
              <w:rPr>
                <w:rFonts w:ascii="Roboto Light" w:hAnsi="Roboto Light" w:cs="Arial"/>
                <w:sz w:val="18"/>
                <w:szCs w:val="18"/>
              </w:rPr>
            </w:pPr>
            <w:r>
              <w:rPr>
                <w:rFonts w:ascii="Roboto Light" w:hAnsi="Roboto Light"/>
                <w:sz w:val="18"/>
              </w:rPr>
              <w:t>3,343,697</w:t>
            </w:r>
          </w:p>
        </w:tc>
        <w:tc>
          <w:tcPr>
            <w:tcW w:w="367" w:type="pct"/>
            <w:tcBorders>
              <w:top w:val="nil"/>
              <w:left w:val="nil"/>
              <w:bottom w:val="nil"/>
              <w:right w:val="nil"/>
            </w:tcBorders>
            <w:shd w:val="clear" w:color="000000" w:fill="EEECE1"/>
            <w:noWrap/>
            <w:vAlign w:val="center"/>
            <w:hideMark/>
          </w:tcPr>
          <w:p w14:paraId="2CAC6B0D" w14:textId="77777777" w:rsidR="00751AFF" w:rsidRPr="00F77CCF" w:rsidRDefault="00751AFF" w:rsidP="00D40378">
            <w:pPr>
              <w:jc w:val="right"/>
              <w:rPr>
                <w:rFonts w:ascii="Roboto Light" w:hAnsi="Roboto Light" w:cs="Arial"/>
                <w:sz w:val="18"/>
                <w:szCs w:val="18"/>
              </w:rPr>
            </w:pPr>
            <w:r>
              <w:rPr>
                <w:rFonts w:ascii="Roboto Light" w:hAnsi="Roboto Light"/>
                <w:sz w:val="18"/>
              </w:rPr>
              <w:t>8.5</w:t>
            </w:r>
          </w:p>
        </w:tc>
      </w:tr>
      <w:tr w:rsidR="00751AFF" w:rsidRPr="00F77CCF" w14:paraId="14556428" w14:textId="77777777" w:rsidTr="00D40378">
        <w:trPr>
          <w:trHeight w:val="255"/>
          <w:jc w:val="center"/>
        </w:trPr>
        <w:tc>
          <w:tcPr>
            <w:tcW w:w="3121" w:type="pct"/>
            <w:tcBorders>
              <w:top w:val="nil"/>
              <w:left w:val="nil"/>
              <w:bottom w:val="nil"/>
              <w:right w:val="nil"/>
            </w:tcBorders>
            <w:vAlign w:val="center"/>
            <w:hideMark/>
          </w:tcPr>
          <w:p w14:paraId="5343D1D8" w14:textId="77777777" w:rsidR="00751AFF" w:rsidRPr="00F77CCF" w:rsidRDefault="00751AFF" w:rsidP="00D40378">
            <w:pPr>
              <w:rPr>
                <w:rFonts w:ascii="Roboto Light" w:hAnsi="Roboto Light" w:cs="Arial"/>
                <w:i/>
                <w:iCs/>
                <w:sz w:val="18"/>
                <w:szCs w:val="18"/>
              </w:rPr>
            </w:pPr>
            <w:r>
              <w:rPr>
                <w:rFonts w:ascii="Roboto Light" w:hAnsi="Roboto Light"/>
                <w:i/>
                <w:sz w:val="18"/>
              </w:rPr>
              <w:t>Non‐current financial assets</w:t>
            </w:r>
          </w:p>
        </w:tc>
        <w:tc>
          <w:tcPr>
            <w:tcW w:w="756" w:type="pct"/>
            <w:tcBorders>
              <w:top w:val="nil"/>
              <w:left w:val="nil"/>
              <w:bottom w:val="nil"/>
              <w:right w:val="nil"/>
            </w:tcBorders>
            <w:shd w:val="clear" w:color="000000" w:fill="EEECE1"/>
            <w:noWrap/>
            <w:vAlign w:val="center"/>
            <w:hideMark/>
          </w:tcPr>
          <w:p w14:paraId="6BD621B5"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(136,242)</w:t>
            </w:r>
          </w:p>
        </w:tc>
        <w:tc>
          <w:tcPr>
            <w:tcW w:w="756" w:type="pct"/>
            <w:tcBorders>
              <w:top w:val="nil"/>
              <w:left w:val="nil"/>
              <w:bottom w:val="nil"/>
              <w:right w:val="nil"/>
            </w:tcBorders>
            <w:noWrap/>
            <w:vAlign w:val="center"/>
            <w:hideMark/>
          </w:tcPr>
          <w:p w14:paraId="10D81F95"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(124,355)</w:t>
            </w:r>
          </w:p>
        </w:tc>
        <w:tc>
          <w:tcPr>
            <w:tcW w:w="367" w:type="pct"/>
            <w:tcBorders>
              <w:top w:val="nil"/>
              <w:left w:val="nil"/>
              <w:bottom w:val="nil"/>
              <w:right w:val="nil"/>
            </w:tcBorders>
            <w:shd w:val="clear" w:color="000000" w:fill="EEECE1"/>
            <w:vAlign w:val="center"/>
            <w:hideMark/>
          </w:tcPr>
          <w:p w14:paraId="4E40504C"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9.6</w:t>
            </w:r>
          </w:p>
        </w:tc>
      </w:tr>
      <w:tr w:rsidR="00751AFF" w:rsidRPr="00F77CCF" w14:paraId="5D684D1F" w14:textId="77777777" w:rsidTr="00D40378">
        <w:trPr>
          <w:trHeight w:val="255"/>
          <w:jc w:val="center"/>
        </w:trPr>
        <w:tc>
          <w:tcPr>
            <w:tcW w:w="3121" w:type="pct"/>
            <w:tcBorders>
              <w:top w:val="nil"/>
              <w:left w:val="nil"/>
              <w:bottom w:val="nil"/>
              <w:right w:val="nil"/>
            </w:tcBorders>
            <w:vAlign w:val="center"/>
            <w:hideMark/>
          </w:tcPr>
          <w:p w14:paraId="2AEFFF44" w14:textId="77777777" w:rsidR="00751AFF" w:rsidRPr="00F77CCF" w:rsidRDefault="00751AFF" w:rsidP="00D40378">
            <w:pPr>
              <w:rPr>
                <w:rFonts w:ascii="Roboto Light" w:hAnsi="Roboto Light" w:cs="Arial"/>
                <w:i/>
                <w:iCs/>
                <w:sz w:val="18"/>
                <w:szCs w:val="18"/>
              </w:rPr>
            </w:pPr>
            <w:r>
              <w:rPr>
                <w:rFonts w:ascii="Roboto Light" w:hAnsi="Roboto Light"/>
                <w:i/>
                <w:sz w:val="18"/>
              </w:rPr>
              <w:t>Non-current financial debt</w:t>
            </w:r>
          </w:p>
        </w:tc>
        <w:tc>
          <w:tcPr>
            <w:tcW w:w="756" w:type="pct"/>
            <w:tcBorders>
              <w:top w:val="nil"/>
              <w:left w:val="nil"/>
              <w:bottom w:val="nil"/>
              <w:right w:val="nil"/>
            </w:tcBorders>
            <w:shd w:val="clear" w:color="000000" w:fill="EEECE1"/>
            <w:noWrap/>
            <w:vAlign w:val="center"/>
            <w:hideMark/>
          </w:tcPr>
          <w:p w14:paraId="54209809"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4,441,218</w:t>
            </w:r>
          </w:p>
        </w:tc>
        <w:tc>
          <w:tcPr>
            <w:tcW w:w="756" w:type="pct"/>
            <w:tcBorders>
              <w:top w:val="nil"/>
              <w:left w:val="nil"/>
              <w:bottom w:val="nil"/>
              <w:right w:val="nil"/>
            </w:tcBorders>
            <w:noWrap/>
            <w:vAlign w:val="center"/>
            <w:hideMark/>
          </w:tcPr>
          <w:p w14:paraId="0175844A"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4,460,915</w:t>
            </w:r>
          </w:p>
        </w:tc>
        <w:tc>
          <w:tcPr>
            <w:tcW w:w="367" w:type="pct"/>
            <w:tcBorders>
              <w:top w:val="nil"/>
              <w:left w:val="nil"/>
              <w:bottom w:val="nil"/>
              <w:right w:val="nil"/>
            </w:tcBorders>
            <w:shd w:val="clear" w:color="000000" w:fill="EEECE1"/>
            <w:vAlign w:val="center"/>
            <w:hideMark/>
          </w:tcPr>
          <w:p w14:paraId="1460B765"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(0.4)</w:t>
            </w:r>
          </w:p>
        </w:tc>
      </w:tr>
      <w:tr w:rsidR="00751AFF" w:rsidRPr="00F77CCF" w14:paraId="7AFD8BE7" w14:textId="77777777" w:rsidTr="00D40378">
        <w:trPr>
          <w:trHeight w:val="255"/>
          <w:jc w:val="center"/>
        </w:trPr>
        <w:tc>
          <w:tcPr>
            <w:tcW w:w="3121" w:type="pct"/>
            <w:tcBorders>
              <w:top w:val="single" w:sz="4" w:space="0" w:color="auto"/>
              <w:left w:val="nil"/>
              <w:bottom w:val="single" w:sz="4" w:space="0" w:color="auto"/>
              <w:right w:val="nil"/>
            </w:tcBorders>
            <w:noWrap/>
            <w:vAlign w:val="center"/>
            <w:hideMark/>
          </w:tcPr>
          <w:p w14:paraId="056382C8" w14:textId="77777777" w:rsidR="00751AFF" w:rsidRPr="00F77CCF" w:rsidRDefault="00751AFF" w:rsidP="00D40378">
            <w:pPr>
              <w:rPr>
                <w:rFonts w:ascii="Roboto Light" w:hAnsi="Roboto Light" w:cs="Arial"/>
                <w:sz w:val="18"/>
                <w:szCs w:val="18"/>
              </w:rPr>
            </w:pPr>
            <w:r>
              <w:rPr>
                <w:rFonts w:ascii="Roboto Light" w:hAnsi="Roboto Light"/>
                <w:sz w:val="18"/>
              </w:rPr>
              <w:t>Non‐current net financial debt</w:t>
            </w:r>
          </w:p>
        </w:tc>
        <w:tc>
          <w:tcPr>
            <w:tcW w:w="756" w:type="pct"/>
            <w:tcBorders>
              <w:top w:val="single" w:sz="4" w:space="0" w:color="auto"/>
              <w:left w:val="nil"/>
              <w:bottom w:val="single" w:sz="4" w:space="0" w:color="auto"/>
              <w:right w:val="nil"/>
            </w:tcBorders>
            <w:shd w:val="clear" w:color="000000" w:fill="EEECE1"/>
            <w:noWrap/>
            <w:vAlign w:val="center"/>
            <w:hideMark/>
          </w:tcPr>
          <w:p w14:paraId="559CECA6" w14:textId="77777777" w:rsidR="00751AFF" w:rsidRPr="00F77CCF" w:rsidRDefault="00751AFF" w:rsidP="00D40378">
            <w:pPr>
              <w:jc w:val="right"/>
              <w:rPr>
                <w:rFonts w:ascii="Roboto Light" w:hAnsi="Roboto Light" w:cs="Arial"/>
                <w:sz w:val="18"/>
                <w:szCs w:val="18"/>
              </w:rPr>
            </w:pPr>
            <w:r>
              <w:rPr>
                <w:rFonts w:ascii="Roboto Light" w:hAnsi="Roboto Light"/>
                <w:sz w:val="18"/>
              </w:rPr>
              <w:t>4,304,976</w:t>
            </w:r>
          </w:p>
        </w:tc>
        <w:tc>
          <w:tcPr>
            <w:tcW w:w="756" w:type="pct"/>
            <w:tcBorders>
              <w:top w:val="single" w:sz="4" w:space="0" w:color="auto"/>
              <w:left w:val="nil"/>
              <w:bottom w:val="single" w:sz="4" w:space="0" w:color="auto"/>
              <w:right w:val="nil"/>
            </w:tcBorders>
            <w:noWrap/>
            <w:vAlign w:val="center"/>
            <w:hideMark/>
          </w:tcPr>
          <w:p w14:paraId="002F8CC7" w14:textId="77777777" w:rsidR="00751AFF" w:rsidRPr="00F77CCF" w:rsidRDefault="00751AFF" w:rsidP="00D40378">
            <w:pPr>
              <w:jc w:val="right"/>
              <w:rPr>
                <w:rFonts w:ascii="Roboto Light" w:hAnsi="Roboto Light" w:cs="Arial"/>
                <w:sz w:val="18"/>
                <w:szCs w:val="18"/>
              </w:rPr>
            </w:pPr>
            <w:r>
              <w:rPr>
                <w:rFonts w:ascii="Roboto Light" w:hAnsi="Roboto Light"/>
                <w:sz w:val="18"/>
              </w:rPr>
              <w:t>4,336,560</w:t>
            </w:r>
          </w:p>
        </w:tc>
        <w:tc>
          <w:tcPr>
            <w:tcW w:w="367" w:type="pct"/>
            <w:tcBorders>
              <w:top w:val="single" w:sz="4" w:space="0" w:color="auto"/>
              <w:left w:val="nil"/>
              <w:bottom w:val="single" w:sz="4" w:space="0" w:color="auto"/>
              <w:right w:val="nil"/>
            </w:tcBorders>
            <w:shd w:val="clear" w:color="000000" w:fill="EEECE1"/>
            <w:noWrap/>
            <w:vAlign w:val="center"/>
            <w:hideMark/>
          </w:tcPr>
          <w:p w14:paraId="3B38540F" w14:textId="77777777" w:rsidR="00751AFF" w:rsidRPr="00F77CCF" w:rsidRDefault="00751AFF" w:rsidP="00D40378">
            <w:pPr>
              <w:jc w:val="right"/>
              <w:rPr>
                <w:rFonts w:ascii="Roboto Light" w:hAnsi="Roboto Light" w:cs="Arial"/>
                <w:sz w:val="18"/>
                <w:szCs w:val="18"/>
              </w:rPr>
            </w:pPr>
            <w:r>
              <w:rPr>
                <w:rFonts w:ascii="Roboto Light" w:hAnsi="Roboto Light"/>
                <w:sz w:val="18"/>
              </w:rPr>
              <w:t>(0.7)</w:t>
            </w:r>
          </w:p>
        </w:tc>
      </w:tr>
      <w:tr w:rsidR="00751AFF" w:rsidRPr="00F77CCF" w14:paraId="7CC8F05C" w14:textId="77777777" w:rsidTr="00D40378">
        <w:trPr>
          <w:trHeight w:val="255"/>
          <w:jc w:val="center"/>
        </w:trPr>
        <w:tc>
          <w:tcPr>
            <w:tcW w:w="3121" w:type="pct"/>
            <w:tcBorders>
              <w:top w:val="nil"/>
              <w:left w:val="nil"/>
              <w:bottom w:val="nil"/>
              <w:right w:val="nil"/>
            </w:tcBorders>
            <w:vAlign w:val="center"/>
            <w:hideMark/>
          </w:tcPr>
          <w:p w14:paraId="6BED1DF1" w14:textId="77777777" w:rsidR="00751AFF" w:rsidRPr="00F77CCF" w:rsidRDefault="00751AFF" w:rsidP="00D40378">
            <w:pPr>
              <w:rPr>
                <w:rFonts w:ascii="Roboto Light" w:hAnsi="Roboto Light" w:cs="Arial"/>
                <w:i/>
                <w:iCs/>
                <w:sz w:val="18"/>
                <w:szCs w:val="18"/>
              </w:rPr>
            </w:pPr>
            <w:r>
              <w:rPr>
                <w:rFonts w:ascii="Roboto Light" w:hAnsi="Roboto Light"/>
                <w:i/>
                <w:sz w:val="18"/>
              </w:rPr>
              <w:t>Short-term financial assets</w:t>
            </w:r>
          </w:p>
        </w:tc>
        <w:tc>
          <w:tcPr>
            <w:tcW w:w="756" w:type="pct"/>
            <w:tcBorders>
              <w:top w:val="nil"/>
              <w:left w:val="nil"/>
              <w:bottom w:val="nil"/>
              <w:right w:val="nil"/>
            </w:tcBorders>
            <w:shd w:val="clear" w:color="000000" w:fill="EEECE1"/>
            <w:noWrap/>
            <w:vAlign w:val="center"/>
            <w:hideMark/>
          </w:tcPr>
          <w:p w14:paraId="02A29EAA"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(183,298)</w:t>
            </w:r>
          </w:p>
        </w:tc>
        <w:tc>
          <w:tcPr>
            <w:tcW w:w="756" w:type="pct"/>
            <w:tcBorders>
              <w:top w:val="nil"/>
              <w:left w:val="nil"/>
              <w:bottom w:val="nil"/>
              <w:right w:val="nil"/>
            </w:tcBorders>
            <w:noWrap/>
            <w:vAlign w:val="center"/>
            <w:hideMark/>
          </w:tcPr>
          <w:p w14:paraId="33AD99D4"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(867,975)</w:t>
            </w:r>
          </w:p>
        </w:tc>
        <w:tc>
          <w:tcPr>
            <w:tcW w:w="367" w:type="pct"/>
            <w:tcBorders>
              <w:top w:val="nil"/>
              <w:left w:val="nil"/>
              <w:bottom w:val="nil"/>
              <w:right w:val="nil"/>
            </w:tcBorders>
            <w:shd w:val="clear" w:color="000000" w:fill="EEECE1"/>
            <w:vAlign w:val="center"/>
            <w:hideMark/>
          </w:tcPr>
          <w:p w14:paraId="25F32B18"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(78.9)</w:t>
            </w:r>
          </w:p>
        </w:tc>
      </w:tr>
      <w:tr w:rsidR="00751AFF" w:rsidRPr="00F77CCF" w14:paraId="04EEC30B" w14:textId="77777777" w:rsidTr="00D40378">
        <w:trPr>
          <w:trHeight w:val="255"/>
          <w:jc w:val="center"/>
        </w:trPr>
        <w:tc>
          <w:tcPr>
            <w:tcW w:w="3121" w:type="pct"/>
            <w:tcBorders>
              <w:top w:val="nil"/>
              <w:left w:val="nil"/>
              <w:bottom w:val="nil"/>
              <w:right w:val="nil"/>
            </w:tcBorders>
            <w:vAlign w:val="center"/>
            <w:hideMark/>
          </w:tcPr>
          <w:p w14:paraId="43BA05EA" w14:textId="77777777" w:rsidR="00751AFF" w:rsidRPr="00F77CCF" w:rsidRDefault="00751AFF" w:rsidP="00D40378">
            <w:pPr>
              <w:rPr>
                <w:rFonts w:ascii="Roboto Light" w:hAnsi="Roboto Light" w:cs="Arial"/>
                <w:i/>
                <w:iCs/>
                <w:sz w:val="18"/>
                <w:szCs w:val="18"/>
              </w:rPr>
            </w:pPr>
            <w:r>
              <w:rPr>
                <w:rFonts w:ascii="Roboto Light" w:hAnsi="Roboto Light"/>
                <w:i/>
                <w:sz w:val="18"/>
              </w:rPr>
              <w:t>Current financial debt</w:t>
            </w:r>
          </w:p>
        </w:tc>
        <w:tc>
          <w:tcPr>
            <w:tcW w:w="756" w:type="pct"/>
            <w:tcBorders>
              <w:top w:val="nil"/>
              <w:left w:val="nil"/>
              <w:bottom w:val="nil"/>
              <w:right w:val="nil"/>
            </w:tcBorders>
            <w:shd w:val="clear" w:color="000000" w:fill="EEECE1"/>
            <w:noWrap/>
            <w:vAlign w:val="center"/>
            <w:hideMark/>
          </w:tcPr>
          <w:p w14:paraId="5281ABA9"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165,715</w:t>
            </w:r>
          </w:p>
        </w:tc>
        <w:tc>
          <w:tcPr>
            <w:tcW w:w="756" w:type="pct"/>
            <w:tcBorders>
              <w:top w:val="nil"/>
              <w:left w:val="nil"/>
              <w:bottom w:val="nil"/>
              <w:right w:val="nil"/>
            </w:tcBorders>
            <w:noWrap/>
            <w:vAlign w:val="center"/>
            <w:hideMark/>
          </w:tcPr>
          <w:p w14:paraId="53A36170"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614,158</w:t>
            </w:r>
          </w:p>
        </w:tc>
        <w:tc>
          <w:tcPr>
            <w:tcW w:w="367" w:type="pct"/>
            <w:tcBorders>
              <w:top w:val="nil"/>
              <w:left w:val="nil"/>
              <w:bottom w:val="nil"/>
              <w:right w:val="nil"/>
            </w:tcBorders>
            <w:shd w:val="clear" w:color="000000" w:fill="EEECE1"/>
            <w:vAlign w:val="center"/>
            <w:hideMark/>
          </w:tcPr>
          <w:p w14:paraId="3DDDE6DF" w14:textId="77777777" w:rsidR="00751AFF" w:rsidRPr="00F77CCF" w:rsidRDefault="00751AFF" w:rsidP="00D40378">
            <w:pPr>
              <w:jc w:val="right"/>
              <w:rPr>
                <w:rFonts w:ascii="Roboto Light" w:hAnsi="Roboto Light" w:cs="Arial"/>
                <w:i/>
                <w:iCs/>
                <w:sz w:val="18"/>
                <w:szCs w:val="18"/>
              </w:rPr>
            </w:pPr>
            <w:r>
              <w:rPr>
                <w:rFonts w:ascii="Roboto Light" w:hAnsi="Roboto Light"/>
                <w:i/>
                <w:sz w:val="18"/>
              </w:rPr>
              <w:t>(73.0)</w:t>
            </w:r>
          </w:p>
        </w:tc>
      </w:tr>
      <w:tr w:rsidR="00751AFF" w:rsidRPr="00F77CCF" w14:paraId="4F301B91" w14:textId="77777777" w:rsidTr="00D40378">
        <w:trPr>
          <w:trHeight w:val="255"/>
          <w:jc w:val="center"/>
        </w:trPr>
        <w:tc>
          <w:tcPr>
            <w:tcW w:w="3121" w:type="pct"/>
            <w:tcBorders>
              <w:top w:val="single" w:sz="4" w:space="0" w:color="auto"/>
              <w:left w:val="nil"/>
              <w:bottom w:val="single" w:sz="4" w:space="0" w:color="auto"/>
              <w:right w:val="nil"/>
            </w:tcBorders>
            <w:noWrap/>
            <w:vAlign w:val="center"/>
            <w:hideMark/>
          </w:tcPr>
          <w:p w14:paraId="56BD4227" w14:textId="77777777" w:rsidR="00751AFF" w:rsidRPr="00F77CCF" w:rsidRDefault="00751AFF" w:rsidP="00D40378">
            <w:pPr>
              <w:rPr>
                <w:rFonts w:ascii="Roboto Light" w:hAnsi="Roboto Light" w:cs="Arial"/>
                <w:sz w:val="18"/>
                <w:szCs w:val="18"/>
              </w:rPr>
            </w:pPr>
            <w:r>
              <w:rPr>
                <w:rFonts w:ascii="Roboto Light" w:hAnsi="Roboto Light"/>
                <w:sz w:val="18"/>
              </w:rPr>
              <w:t>Short-term net financial debt</w:t>
            </w:r>
          </w:p>
        </w:tc>
        <w:tc>
          <w:tcPr>
            <w:tcW w:w="756" w:type="pct"/>
            <w:tcBorders>
              <w:top w:val="single" w:sz="4" w:space="0" w:color="auto"/>
              <w:left w:val="nil"/>
              <w:bottom w:val="single" w:sz="4" w:space="0" w:color="auto"/>
              <w:right w:val="nil"/>
            </w:tcBorders>
            <w:shd w:val="clear" w:color="000000" w:fill="EEECE1"/>
            <w:noWrap/>
            <w:vAlign w:val="center"/>
            <w:hideMark/>
          </w:tcPr>
          <w:p w14:paraId="359FC51C" w14:textId="77777777" w:rsidR="00751AFF" w:rsidRPr="00F77CCF" w:rsidRDefault="00751AFF" w:rsidP="00D40378">
            <w:pPr>
              <w:jc w:val="right"/>
              <w:rPr>
                <w:rFonts w:ascii="Roboto Light" w:hAnsi="Roboto Light" w:cs="Arial"/>
                <w:sz w:val="18"/>
                <w:szCs w:val="18"/>
              </w:rPr>
            </w:pPr>
            <w:r>
              <w:rPr>
                <w:rFonts w:ascii="Roboto Light" w:hAnsi="Roboto Light"/>
                <w:sz w:val="18"/>
              </w:rPr>
              <w:t>(17,583)</w:t>
            </w:r>
          </w:p>
        </w:tc>
        <w:tc>
          <w:tcPr>
            <w:tcW w:w="756" w:type="pct"/>
            <w:tcBorders>
              <w:top w:val="single" w:sz="4" w:space="0" w:color="auto"/>
              <w:left w:val="nil"/>
              <w:bottom w:val="single" w:sz="4" w:space="0" w:color="auto"/>
              <w:right w:val="nil"/>
            </w:tcBorders>
            <w:noWrap/>
            <w:vAlign w:val="center"/>
            <w:hideMark/>
          </w:tcPr>
          <w:p w14:paraId="4D598F13" w14:textId="77777777" w:rsidR="00751AFF" w:rsidRPr="00F77CCF" w:rsidRDefault="00751AFF" w:rsidP="00D40378">
            <w:pPr>
              <w:jc w:val="right"/>
              <w:rPr>
                <w:rFonts w:ascii="Roboto Light" w:hAnsi="Roboto Light" w:cs="Arial"/>
                <w:sz w:val="18"/>
                <w:szCs w:val="18"/>
              </w:rPr>
            </w:pPr>
            <w:r>
              <w:rPr>
                <w:rFonts w:ascii="Roboto Light" w:hAnsi="Roboto Light"/>
                <w:sz w:val="18"/>
              </w:rPr>
              <w:t>(253,817)</w:t>
            </w:r>
          </w:p>
        </w:tc>
        <w:tc>
          <w:tcPr>
            <w:tcW w:w="367" w:type="pct"/>
            <w:tcBorders>
              <w:top w:val="single" w:sz="4" w:space="0" w:color="auto"/>
              <w:left w:val="nil"/>
              <w:bottom w:val="single" w:sz="4" w:space="0" w:color="auto"/>
              <w:right w:val="nil"/>
            </w:tcBorders>
            <w:shd w:val="clear" w:color="000000" w:fill="EEECE1"/>
            <w:noWrap/>
            <w:vAlign w:val="center"/>
            <w:hideMark/>
          </w:tcPr>
          <w:p w14:paraId="7FD2A5D0" w14:textId="77777777" w:rsidR="00751AFF" w:rsidRPr="00F77CCF" w:rsidRDefault="00751AFF" w:rsidP="00D40378">
            <w:pPr>
              <w:jc w:val="right"/>
              <w:rPr>
                <w:rFonts w:ascii="Roboto Light" w:hAnsi="Roboto Light" w:cs="Arial"/>
                <w:sz w:val="18"/>
                <w:szCs w:val="18"/>
              </w:rPr>
            </w:pPr>
            <w:r>
              <w:rPr>
                <w:rFonts w:ascii="Roboto Light" w:hAnsi="Roboto Light"/>
                <w:sz w:val="18"/>
              </w:rPr>
              <w:t>(93.1)</w:t>
            </w:r>
          </w:p>
        </w:tc>
      </w:tr>
      <w:tr w:rsidR="00751AFF" w:rsidRPr="00F77CCF" w14:paraId="537E0F32" w14:textId="77777777" w:rsidTr="00D40378">
        <w:trPr>
          <w:trHeight w:val="255"/>
          <w:jc w:val="center"/>
        </w:trPr>
        <w:tc>
          <w:tcPr>
            <w:tcW w:w="3121" w:type="pct"/>
            <w:tcBorders>
              <w:top w:val="nil"/>
              <w:left w:val="nil"/>
              <w:bottom w:val="nil"/>
              <w:right w:val="nil"/>
            </w:tcBorders>
            <w:noWrap/>
            <w:vAlign w:val="center"/>
            <w:hideMark/>
          </w:tcPr>
          <w:p w14:paraId="039E5F06" w14:textId="77777777" w:rsidR="00751AFF" w:rsidRPr="00F77CCF" w:rsidRDefault="00751AFF" w:rsidP="00D40378">
            <w:pPr>
              <w:rPr>
                <w:rFonts w:ascii="Roboto Light" w:hAnsi="Roboto Light" w:cs="Arial"/>
                <w:sz w:val="18"/>
                <w:szCs w:val="18"/>
              </w:rPr>
            </w:pPr>
            <w:r>
              <w:rPr>
                <w:rFonts w:ascii="Roboto Light" w:hAnsi="Roboto Light"/>
                <w:sz w:val="18"/>
              </w:rPr>
              <w:t>Net financial debt</w:t>
            </w:r>
          </w:p>
        </w:tc>
        <w:tc>
          <w:tcPr>
            <w:tcW w:w="756" w:type="pct"/>
            <w:tcBorders>
              <w:top w:val="nil"/>
              <w:left w:val="nil"/>
              <w:bottom w:val="nil"/>
              <w:right w:val="nil"/>
            </w:tcBorders>
            <w:shd w:val="clear" w:color="000000" w:fill="EEECE1"/>
            <w:noWrap/>
            <w:vAlign w:val="center"/>
            <w:hideMark/>
          </w:tcPr>
          <w:p w14:paraId="6DB01862" w14:textId="77777777" w:rsidR="00751AFF" w:rsidRPr="00F77CCF" w:rsidRDefault="00751AFF" w:rsidP="00D40378">
            <w:pPr>
              <w:jc w:val="right"/>
              <w:rPr>
                <w:rFonts w:ascii="Roboto Light" w:hAnsi="Roboto Light" w:cs="Arial"/>
                <w:sz w:val="18"/>
                <w:szCs w:val="18"/>
              </w:rPr>
            </w:pPr>
            <w:r>
              <w:rPr>
                <w:rFonts w:ascii="Roboto Light" w:hAnsi="Roboto Light"/>
                <w:sz w:val="18"/>
              </w:rPr>
              <w:t>4,287,393</w:t>
            </w:r>
          </w:p>
        </w:tc>
        <w:tc>
          <w:tcPr>
            <w:tcW w:w="756" w:type="pct"/>
            <w:tcBorders>
              <w:top w:val="nil"/>
              <w:left w:val="nil"/>
              <w:bottom w:val="nil"/>
              <w:right w:val="nil"/>
            </w:tcBorders>
            <w:noWrap/>
            <w:vAlign w:val="center"/>
            <w:hideMark/>
          </w:tcPr>
          <w:p w14:paraId="17A45214" w14:textId="77777777" w:rsidR="00751AFF" w:rsidRPr="00F77CCF" w:rsidRDefault="00751AFF" w:rsidP="00D40378">
            <w:pPr>
              <w:jc w:val="right"/>
              <w:rPr>
                <w:rFonts w:ascii="Roboto Light" w:hAnsi="Roboto Light" w:cs="Arial"/>
                <w:sz w:val="18"/>
                <w:szCs w:val="18"/>
              </w:rPr>
            </w:pPr>
            <w:r>
              <w:rPr>
                <w:rFonts w:ascii="Roboto Light" w:hAnsi="Roboto Light"/>
                <w:sz w:val="18"/>
              </w:rPr>
              <w:t>4,082,743</w:t>
            </w:r>
          </w:p>
        </w:tc>
        <w:tc>
          <w:tcPr>
            <w:tcW w:w="367" w:type="pct"/>
            <w:tcBorders>
              <w:top w:val="nil"/>
              <w:left w:val="nil"/>
              <w:bottom w:val="nil"/>
              <w:right w:val="nil"/>
            </w:tcBorders>
            <w:shd w:val="clear" w:color="000000" w:fill="EEECE1"/>
            <w:noWrap/>
            <w:vAlign w:val="center"/>
            <w:hideMark/>
          </w:tcPr>
          <w:p w14:paraId="15ED8117" w14:textId="77777777" w:rsidR="00751AFF" w:rsidRPr="00F77CCF" w:rsidRDefault="00751AFF" w:rsidP="00D40378">
            <w:pPr>
              <w:jc w:val="right"/>
              <w:rPr>
                <w:rFonts w:ascii="Roboto Light" w:hAnsi="Roboto Light" w:cs="Arial"/>
                <w:sz w:val="18"/>
                <w:szCs w:val="18"/>
              </w:rPr>
            </w:pPr>
            <w:r>
              <w:rPr>
                <w:rFonts w:ascii="Roboto Light" w:hAnsi="Roboto Light"/>
                <w:sz w:val="18"/>
              </w:rPr>
              <w:t>5.0</w:t>
            </w:r>
          </w:p>
        </w:tc>
      </w:tr>
      <w:tr w:rsidR="00751AFF" w:rsidRPr="00F77CCF" w14:paraId="5EC81FC2" w14:textId="77777777" w:rsidTr="00D40378">
        <w:trPr>
          <w:trHeight w:val="255"/>
          <w:jc w:val="center"/>
        </w:trPr>
        <w:tc>
          <w:tcPr>
            <w:tcW w:w="3121" w:type="pct"/>
            <w:tcBorders>
              <w:top w:val="single" w:sz="4" w:space="0" w:color="auto"/>
              <w:left w:val="nil"/>
              <w:bottom w:val="single" w:sz="4" w:space="0" w:color="auto"/>
              <w:right w:val="nil"/>
            </w:tcBorders>
            <w:noWrap/>
            <w:vAlign w:val="center"/>
            <w:hideMark/>
          </w:tcPr>
          <w:p w14:paraId="2619C1B7" w14:textId="77777777" w:rsidR="00751AFF" w:rsidRPr="00F77CCF" w:rsidRDefault="00751AFF" w:rsidP="00D40378">
            <w:pPr>
              <w:rPr>
                <w:rFonts w:ascii="Roboto Light" w:hAnsi="Roboto Light" w:cs="Arial"/>
                <w:b/>
                <w:bCs/>
                <w:sz w:val="18"/>
                <w:szCs w:val="18"/>
              </w:rPr>
            </w:pPr>
            <w:r>
              <w:rPr>
                <w:rFonts w:ascii="Roboto Light" w:hAnsi="Roboto Light"/>
                <w:b/>
                <w:sz w:val="18"/>
              </w:rPr>
              <w:t>Own funds and net financial debt</w:t>
            </w:r>
          </w:p>
        </w:tc>
        <w:tc>
          <w:tcPr>
            <w:tcW w:w="756" w:type="pct"/>
            <w:tcBorders>
              <w:top w:val="single" w:sz="4" w:space="0" w:color="auto"/>
              <w:left w:val="nil"/>
              <w:bottom w:val="single" w:sz="4" w:space="0" w:color="auto"/>
              <w:right w:val="nil"/>
            </w:tcBorders>
            <w:shd w:val="clear" w:color="000000" w:fill="EEECE1"/>
            <w:noWrap/>
            <w:vAlign w:val="center"/>
            <w:hideMark/>
          </w:tcPr>
          <w:p w14:paraId="45294712" w14:textId="77777777" w:rsidR="00751AFF" w:rsidRPr="00F77CCF" w:rsidRDefault="00751AFF" w:rsidP="00D40378">
            <w:pPr>
              <w:jc w:val="right"/>
              <w:rPr>
                <w:rFonts w:ascii="Roboto Light" w:hAnsi="Roboto Light" w:cs="Arial"/>
                <w:b/>
                <w:bCs/>
                <w:sz w:val="18"/>
                <w:szCs w:val="18"/>
              </w:rPr>
            </w:pPr>
            <w:r>
              <w:rPr>
                <w:rFonts w:ascii="Roboto Light" w:hAnsi="Roboto Light"/>
                <w:b/>
                <w:sz w:val="18"/>
              </w:rPr>
              <w:t>7,914,933</w:t>
            </w:r>
          </w:p>
        </w:tc>
        <w:tc>
          <w:tcPr>
            <w:tcW w:w="756" w:type="pct"/>
            <w:tcBorders>
              <w:top w:val="single" w:sz="4" w:space="0" w:color="auto"/>
              <w:left w:val="nil"/>
              <w:bottom w:val="single" w:sz="4" w:space="0" w:color="auto"/>
              <w:right w:val="nil"/>
            </w:tcBorders>
            <w:noWrap/>
            <w:vAlign w:val="center"/>
            <w:hideMark/>
          </w:tcPr>
          <w:p w14:paraId="5B986337" w14:textId="77777777" w:rsidR="00751AFF" w:rsidRPr="00F77CCF" w:rsidRDefault="00751AFF" w:rsidP="00D40378">
            <w:pPr>
              <w:jc w:val="right"/>
              <w:rPr>
                <w:rFonts w:ascii="Roboto Light" w:hAnsi="Roboto Light" w:cs="Arial"/>
                <w:b/>
                <w:bCs/>
                <w:sz w:val="18"/>
                <w:szCs w:val="18"/>
              </w:rPr>
            </w:pPr>
            <w:r>
              <w:rPr>
                <w:rFonts w:ascii="Roboto Light" w:hAnsi="Roboto Light"/>
                <w:b/>
                <w:sz w:val="18"/>
              </w:rPr>
              <w:t>7,426,440</w:t>
            </w:r>
          </w:p>
        </w:tc>
        <w:tc>
          <w:tcPr>
            <w:tcW w:w="367" w:type="pct"/>
            <w:tcBorders>
              <w:top w:val="single" w:sz="4" w:space="0" w:color="auto"/>
              <w:left w:val="nil"/>
              <w:bottom w:val="single" w:sz="4" w:space="0" w:color="auto"/>
              <w:right w:val="nil"/>
            </w:tcBorders>
            <w:shd w:val="clear" w:color="000000" w:fill="EEECE1"/>
            <w:noWrap/>
            <w:vAlign w:val="center"/>
            <w:hideMark/>
          </w:tcPr>
          <w:p w14:paraId="0023217B" w14:textId="77777777" w:rsidR="00751AFF" w:rsidRPr="00F77CCF" w:rsidRDefault="00751AFF" w:rsidP="00D40378">
            <w:pPr>
              <w:jc w:val="right"/>
              <w:rPr>
                <w:rFonts w:ascii="Roboto Light" w:hAnsi="Roboto Light" w:cs="Arial"/>
                <w:b/>
                <w:bCs/>
                <w:sz w:val="18"/>
                <w:szCs w:val="18"/>
              </w:rPr>
            </w:pPr>
            <w:r>
              <w:rPr>
                <w:rFonts w:ascii="Roboto Light" w:hAnsi="Roboto Light"/>
                <w:b/>
                <w:sz w:val="18"/>
              </w:rPr>
              <w:t>6.6</w:t>
            </w:r>
          </w:p>
        </w:tc>
      </w:tr>
      <w:tr w:rsidR="00751AFF" w:rsidRPr="00F77CCF" w14:paraId="66CF2824" w14:textId="77777777" w:rsidTr="00D40378">
        <w:trPr>
          <w:trHeight w:val="270"/>
          <w:jc w:val="center"/>
        </w:trPr>
        <w:tc>
          <w:tcPr>
            <w:tcW w:w="3121" w:type="pct"/>
            <w:tcBorders>
              <w:top w:val="nil"/>
              <w:left w:val="nil"/>
              <w:bottom w:val="nil"/>
              <w:right w:val="nil"/>
            </w:tcBorders>
            <w:noWrap/>
            <w:vAlign w:val="bottom"/>
            <w:hideMark/>
          </w:tcPr>
          <w:p w14:paraId="3E773889" w14:textId="77777777" w:rsidR="00751AFF" w:rsidRPr="00F77CCF" w:rsidRDefault="00751AFF" w:rsidP="00D40378">
            <w:pPr>
              <w:rPr>
                <w:rFonts w:ascii="Roboto Light" w:hAnsi="Roboto Light" w:cs="Arial"/>
                <w:sz w:val="16"/>
                <w:szCs w:val="16"/>
              </w:rPr>
            </w:pPr>
            <w:r>
              <w:rPr>
                <w:rFonts w:ascii="Roboto Light" w:hAnsi="Roboto Light"/>
                <w:sz w:val="16"/>
              </w:rPr>
              <w:t>(*) Change of more than 100%</w:t>
            </w:r>
          </w:p>
        </w:tc>
        <w:tc>
          <w:tcPr>
            <w:tcW w:w="756" w:type="pct"/>
            <w:tcBorders>
              <w:top w:val="nil"/>
              <w:left w:val="nil"/>
              <w:bottom w:val="nil"/>
              <w:right w:val="nil"/>
            </w:tcBorders>
            <w:noWrap/>
            <w:vAlign w:val="center"/>
            <w:hideMark/>
          </w:tcPr>
          <w:p w14:paraId="7EC0A693" w14:textId="77777777" w:rsidR="00751AFF" w:rsidRPr="00F77CCF" w:rsidRDefault="00751AFF" w:rsidP="00D40378">
            <w:pPr>
              <w:rPr>
                <w:rFonts w:ascii="Roboto Light" w:hAnsi="Roboto Light" w:cs="Arial"/>
                <w:sz w:val="16"/>
                <w:szCs w:val="16"/>
              </w:rPr>
            </w:pPr>
          </w:p>
        </w:tc>
        <w:tc>
          <w:tcPr>
            <w:tcW w:w="756" w:type="pct"/>
            <w:tcBorders>
              <w:top w:val="nil"/>
              <w:left w:val="nil"/>
              <w:bottom w:val="nil"/>
              <w:right w:val="nil"/>
            </w:tcBorders>
            <w:noWrap/>
            <w:vAlign w:val="center"/>
            <w:hideMark/>
          </w:tcPr>
          <w:p w14:paraId="3FC34831" w14:textId="77777777" w:rsidR="00751AFF" w:rsidRPr="00F77CCF" w:rsidRDefault="00751AFF" w:rsidP="00D40378"/>
        </w:tc>
        <w:tc>
          <w:tcPr>
            <w:tcW w:w="367" w:type="pct"/>
            <w:tcBorders>
              <w:top w:val="nil"/>
              <w:left w:val="nil"/>
              <w:bottom w:val="nil"/>
              <w:right w:val="nil"/>
            </w:tcBorders>
            <w:noWrap/>
            <w:vAlign w:val="center"/>
            <w:hideMark/>
          </w:tcPr>
          <w:p w14:paraId="41B56421" w14:textId="77777777" w:rsidR="00751AFF" w:rsidRPr="00F77CCF" w:rsidRDefault="00751AFF" w:rsidP="00D40378"/>
        </w:tc>
      </w:tr>
    </w:tbl>
    <w:p w14:paraId="04EE46BB" w14:textId="77777777" w:rsidR="000132F2" w:rsidRPr="0003068D" w:rsidRDefault="000132F2" w:rsidP="000132F2">
      <w:pPr>
        <w:rPr>
          <w:rFonts w:asciiTheme="majorHAnsi" w:eastAsia="Calibri" w:hAnsiTheme="majorHAnsi" w:cstheme="majorHAnsi"/>
          <w:color w:val="EE0000"/>
          <w:sz w:val="22"/>
          <w:szCs w:val="22"/>
          <w:highlight w:val="yellow"/>
        </w:rPr>
      </w:pPr>
    </w:p>
    <w:p w14:paraId="7F52B7D5" w14:textId="77777777" w:rsidR="001D5545" w:rsidRPr="0003068D" w:rsidRDefault="001D5545" w:rsidP="000132F2">
      <w:pPr>
        <w:rPr>
          <w:rFonts w:asciiTheme="majorHAnsi" w:eastAsia="Calibri" w:hAnsiTheme="majorHAnsi" w:cstheme="majorHAnsi"/>
          <w:color w:val="EE0000"/>
          <w:sz w:val="22"/>
          <w:szCs w:val="22"/>
          <w:highlight w:val="yellow"/>
        </w:rPr>
      </w:pPr>
    </w:p>
    <w:p w14:paraId="3AF16B05" w14:textId="0D2D58A1" w:rsidR="001A77B9" w:rsidRPr="0003068D" w:rsidRDefault="001A77B9">
      <w:pPr>
        <w:rPr>
          <w:rFonts w:asciiTheme="majorHAnsi" w:eastAsia="Calibri" w:hAnsiTheme="majorHAnsi" w:cstheme="majorHAnsi"/>
          <w:b/>
          <w:color w:val="EE0000"/>
          <w:sz w:val="22"/>
          <w:szCs w:val="22"/>
          <w:highlight w:val="yellow"/>
        </w:rPr>
      </w:pPr>
      <w:r>
        <w:br w:type="page"/>
      </w:r>
    </w:p>
    <w:p w14:paraId="3ACE2093" w14:textId="7B15B79A" w:rsidR="00D24306" w:rsidRPr="00BC37D7" w:rsidRDefault="00C34150" w:rsidP="006643C0">
      <w:pPr>
        <w:rPr>
          <w:rFonts w:asciiTheme="majorHAnsi" w:eastAsia="Calibri" w:hAnsiTheme="majorHAnsi" w:cstheme="majorHAnsi"/>
          <w:b/>
          <w:sz w:val="22"/>
          <w:szCs w:val="22"/>
        </w:rPr>
      </w:pPr>
      <w:r>
        <w:rPr>
          <w:rFonts w:asciiTheme="majorHAnsi" w:hAnsiTheme="majorHAnsi"/>
          <w:b/>
          <w:sz w:val="22"/>
        </w:rPr>
        <w:lastRenderedPageBreak/>
        <w:t>Change in net financial debt</w:t>
      </w:r>
    </w:p>
    <w:p w14:paraId="30EEAB59" w14:textId="77777777" w:rsidR="00D4374E" w:rsidRPr="0003068D" w:rsidRDefault="00D4374E" w:rsidP="006643C0">
      <w:pPr>
        <w:rPr>
          <w:rFonts w:asciiTheme="majorHAnsi" w:eastAsia="Calibri" w:hAnsiTheme="majorHAnsi" w:cstheme="majorHAnsi"/>
          <w:b/>
          <w:color w:val="EE0000"/>
          <w:sz w:val="22"/>
          <w:szCs w:val="22"/>
          <w:highlight w:val="yellow"/>
          <w:lang w:eastAsia="en-US"/>
        </w:rPr>
      </w:pPr>
    </w:p>
    <w:tbl>
      <w:tblPr>
        <w:tblW w:w="5000" w:type="pct"/>
        <w:jc w:val="center"/>
        <w:tblCellMar>
          <w:left w:w="70" w:type="dxa"/>
          <w:right w:w="70" w:type="dxa"/>
        </w:tblCellMar>
        <w:tblLook w:val="04A0" w:firstRow="1" w:lastRow="0" w:firstColumn="1" w:lastColumn="0" w:noHBand="0" w:noVBand="1"/>
      </w:tblPr>
      <w:tblGrid>
        <w:gridCol w:w="5599"/>
        <w:gridCol w:w="1335"/>
        <w:gridCol w:w="1335"/>
        <w:gridCol w:w="745"/>
      </w:tblGrid>
      <w:tr w:rsidR="00BC37D7" w:rsidRPr="00BB18D5" w14:paraId="46F2E7D1" w14:textId="77777777" w:rsidTr="00D40378">
        <w:trPr>
          <w:trHeight w:val="255"/>
          <w:jc w:val="center"/>
        </w:trPr>
        <w:tc>
          <w:tcPr>
            <w:tcW w:w="3121" w:type="pct"/>
            <w:tcBorders>
              <w:top w:val="nil"/>
              <w:left w:val="nil"/>
              <w:bottom w:val="nil"/>
              <w:right w:val="nil"/>
            </w:tcBorders>
            <w:noWrap/>
            <w:vAlign w:val="bottom"/>
            <w:hideMark/>
          </w:tcPr>
          <w:p w14:paraId="0254945A" w14:textId="77777777" w:rsidR="00BC37D7" w:rsidRPr="00BB18D5" w:rsidRDefault="00BC37D7" w:rsidP="00D40378"/>
        </w:tc>
        <w:tc>
          <w:tcPr>
            <w:tcW w:w="756" w:type="pct"/>
            <w:tcBorders>
              <w:top w:val="nil"/>
              <w:left w:val="nil"/>
              <w:bottom w:val="nil"/>
              <w:right w:val="nil"/>
            </w:tcBorders>
            <w:noWrap/>
            <w:vAlign w:val="bottom"/>
            <w:hideMark/>
          </w:tcPr>
          <w:p w14:paraId="01CC0509" w14:textId="77777777" w:rsidR="00BC37D7" w:rsidRPr="00BB18D5" w:rsidRDefault="00BC37D7" w:rsidP="00D40378"/>
        </w:tc>
        <w:tc>
          <w:tcPr>
            <w:tcW w:w="1123" w:type="pct"/>
            <w:gridSpan w:val="2"/>
            <w:tcBorders>
              <w:top w:val="nil"/>
              <w:left w:val="nil"/>
              <w:bottom w:val="nil"/>
              <w:right w:val="nil"/>
            </w:tcBorders>
            <w:noWrap/>
            <w:vAlign w:val="center"/>
            <w:hideMark/>
          </w:tcPr>
          <w:p w14:paraId="0AE9D090" w14:textId="77777777" w:rsidR="00BC37D7" w:rsidRPr="00BB18D5" w:rsidRDefault="00BC37D7" w:rsidP="00D40378">
            <w:pPr>
              <w:jc w:val="right"/>
              <w:rPr>
                <w:rFonts w:ascii="Roboto Light" w:hAnsi="Roboto Light" w:cs="Arial"/>
                <w:sz w:val="16"/>
                <w:szCs w:val="16"/>
              </w:rPr>
            </w:pPr>
            <w:r>
              <w:rPr>
                <w:rFonts w:ascii="Roboto Light" w:hAnsi="Roboto Light"/>
                <w:sz w:val="16"/>
              </w:rPr>
              <w:t>thousand euros</w:t>
            </w:r>
          </w:p>
        </w:tc>
      </w:tr>
      <w:tr w:rsidR="00BC37D7" w:rsidRPr="00BB18D5" w14:paraId="18817618" w14:textId="77777777" w:rsidTr="00D40378">
        <w:trPr>
          <w:trHeight w:val="720"/>
          <w:jc w:val="center"/>
        </w:trPr>
        <w:tc>
          <w:tcPr>
            <w:tcW w:w="3121" w:type="pct"/>
            <w:tcBorders>
              <w:top w:val="nil"/>
              <w:left w:val="nil"/>
              <w:bottom w:val="single" w:sz="4" w:space="0" w:color="auto"/>
              <w:right w:val="nil"/>
            </w:tcBorders>
            <w:vAlign w:val="center"/>
            <w:hideMark/>
          </w:tcPr>
          <w:p w14:paraId="6FB42864" w14:textId="77777777" w:rsidR="00BC37D7" w:rsidRPr="00BB18D5" w:rsidRDefault="00BC37D7" w:rsidP="00D40378">
            <w:pPr>
              <w:jc w:val="center"/>
              <w:rPr>
                <w:rFonts w:ascii="Roboto Light" w:hAnsi="Roboto Light" w:cs="Arial"/>
                <w:b/>
                <w:bCs/>
                <w:sz w:val="18"/>
                <w:szCs w:val="18"/>
              </w:rPr>
            </w:pPr>
            <w:bookmarkStart w:id="3" w:name="RANGE!B3:D26"/>
            <w:r>
              <w:rPr>
                <w:rFonts w:ascii="Roboto Light" w:hAnsi="Roboto Light"/>
                <w:b/>
                <w:sz w:val="18"/>
              </w:rPr>
              <w:t> </w:t>
            </w:r>
            <w:bookmarkEnd w:id="3"/>
          </w:p>
        </w:tc>
        <w:tc>
          <w:tcPr>
            <w:tcW w:w="756" w:type="pct"/>
            <w:tcBorders>
              <w:top w:val="nil"/>
              <w:left w:val="nil"/>
              <w:bottom w:val="single" w:sz="4" w:space="0" w:color="auto"/>
              <w:right w:val="nil"/>
            </w:tcBorders>
            <w:shd w:val="clear" w:color="000000" w:fill="EEECE1"/>
            <w:vAlign w:val="center"/>
            <w:hideMark/>
          </w:tcPr>
          <w:p w14:paraId="6D7E686E" w14:textId="77777777" w:rsidR="00BC37D7" w:rsidRPr="00BB18D5" w:rsidRDefault="00BC37D7" w:rsidP="00D40378">
            <w:pPr>
              <w:jc w:val="center"/>
              <w:rPr>
                <w:rFonts w:ascii="Roboto Light" w:hAnsi="Roboto Light" w:cs="Arial"/>
                <w:b/>
                <w:bCs/>
                <w:sz w:val="18"/>
                <w:szCs w:val="18"/>
              </w:rPr>
            </w:pPr>
            <w:r>
              <w:rPr>
                <w:rFonts w:ascii="Roboto Light" w:hAnsi="Roboto Light"/>
                <w:b/>
                <w:sz w:val="18"/>
              </w:rPr>
              <w:t>First 9 months 2025</w:t>
            </w:r>
          </w:p>
        </w:tc>
        <w:tc>
          <w:tcPr>
            <w:tcW w:w="756" w:type="pct"/>
            <w:tcBorders>
              <w:top w:val="nil"/>
              <w:left w:val="nil"/>
              <w:bottom w:val="single" w:sz="4" w:space="0" w:color="auto"/>
              <w:right w:val="nil"/>
            </w:tcBorders>
            <w:vAlign w:val="center"/>
            <w:hideMark/>
          </w:tcPr>
          <w:p w14:paraId="25793794" w14:textId="77777777" w:rsidR="00BC37D7" w:rsidRPr="00BB18D5" w:rsidRDefault="00BC37D7" w:rsidP="00D40378">
            <w:pPr>
              <w:jc w:val="center"/>
              <w:rPr>
                <w:rFonts w:ascii="Roboto Light" w:hAnsi="Roboto Light" w:cs="Arial"/>
                <w:b/>
                <w:bCs/>
                <w:sz w:val="18"/>
                <w:szCs w:val="18"/>
              </w:rPr>
            </w:pPr>
            <w:r>
              <w:rPr>
                <w:rFonts w:ascii="Roboto Light" w:hAnsi="Roboto Light"/>
                <w:b/>
                <w:sz w:val="18"/>
              </w:rPr>
              <w:t>First 9 months</w:t>
            </w:r>
            <w:r>
              <w:rPr>
                <w:rFonts w:ascii="Roboto Light" w:hAnsi="Roboto Light"/>
                <w:b/>
                <w:sz w:val="18"/>
              </w:rPr>
              <w:cr/>
            </w:r>
            <w:r>
              <w:rPr>
                <w:rFonts w:ascii="Roboto Light" w:hAnsi="Roboto Light"/>
                <w:b/>
                <w:sz w:val="18"/>
              </w:rPr>
              <w:br/>
              <w:t>2024</w:t>
            </w:r>
            <w:r>
              <w:rPr>
                <w:rFonts w:ascii="Roboto Light" w:hAnsi="Roboto Light"/>
                <w:b/>
                <w:sz w:val="18"/>
              </w:rPr>
              <w:cr/>
            </w:r>
            <w:r>
              <w:rPr>
                <w:rFonts w:ascii="Roboto Light" w:hAnsi="Roboto Light"/>
                <w:b/>
                <w:sz w:val="18"/>
              </w:rPr>
              <w:br/>
              <w:t>Restated</w:t>
            </w:r>
          </w:p>
        </w:tc>
        <w:tc>
          <w:tcPr>
            <w:tcW w:w="367" w:type="pct"/>
            <w:tcBorders>
              <w:top w:val="nil"/>
              <w:left w:val="nil"/>
              <w:bottom w:val="single" w:sz="4" w:space="0" w:color="auto"/>
              <w:right w:val="nil"/>
            </w:tcBorders>
            <w:shd w:val="clear" w:color="000000" w:fill="EEECE1"/>
            <w:vAlign w:val="center"/>
            <w:hideMark/>
          </w:tcPr>
          <w:p w14:paraId="3655E6BB" w14:textId="77777777" w:rsidR="00BC37D7" w:rsidRPr="00BB18D5" w:rsidRDefault="00BC37D7" w:rsidP="00D40378">
            <w:pPr>
              <w:jc w:val="center"/>
              <w:rPr>
                <w:rFonts w:ascii="Roboto Light" w:hAnsi="Roboto Light" w:cs="Arial"/>
                <w:b/>
                <w:bCs/>
                <w:sz w:val="18"/>
                <w:szCs w:val="18"/>
              </w:rPr>
            </w:pPr>
            <w:r>
              <w:rPr>
                <w:rFonts w:ascii="Roboto Light" w:hAnsi="Roboto Light"/>
                <w:b/>
                <w:sz w:val="18"/>
              </w:rPr>
              <w:t>Change %</w:t>
            </w:r>
          </w:p>
        </w:tc>
      </w:tr>
      <w:tr w:rsidR="00BC37D7" w:rsidRPr="00BB18D5" w14:paraId="60B6FFEC" w14:textId="77777777" w:rsidTr="00D40378">
        <w:trPr>
          <w:trHeight w:val="240"/>
          <w:jc w:val="center"/>
        </w:trPr>
        <w:tc>
          <w:tcPr>
            <w:tcW w:w="3121" w:type="pct"/>
            <w:tcBorders>
              <w:top w:val="nil"/>
              <w:left w:val="nil"/>
              <w:bottom w:val="single" w:sz="4" w:space="0" w:color="auto"/>
              <w:right w:val="nil"/>
            </w:tcBorders>
            <w:vAlign w:val="bottom"/>
            <w:hideMark/>
          </w:tcPr>
          <w:p w14:paraId="399C283F" w14:textId="77777777" w:rsidR="00BC37D7" w:rsidRPr="00BB18D5" w:rsidRDefault="00BC37D7" w:rsidP="00D40378">
            <w:pPr>
              <w:rPr>
                <w:rFonts w:ascii="Roboto Light" w:hAnsi="Roboto Light" w:cs="Arial"/>
                <w:b/>
                <w:bCs/>
                <w:sz w:val="18"/>
                <w:szCs w:val="18"/>
              </w:rPr>
            </w:pPr>
            <w:r>
              <w:rPr>
                <w:rFonts w:ascii="Roboto Light" w:hAnsi="Roboto Light"/>
                <w:b/>
                <w:sz w:val="18"/>
              </w:rPr>
              <w:t>Opening net financial debt</w:t>
            </w:r>
          </w:p>
        </w:tc>
        <w:tc>
          <w:tcPr>
            <w:tcW w:w="756" w:type="pct"/>
            <w:tcBorders>
              <w:top w:val="nil"/>
              <w:left w:val="nil"/>
              <w:bottom w:val="single" w:sz="4" w:space="0" w:color="auto"/>
              <w:right w:val="nil"/>
            </w:tcBorders>
            <w:shd w:val="clear" w:color="000000" w:fill="EEECE1"/>
            <w:noWrap/>
            <w:vAlign w:val="center"/>
            <w:hideMark/>
          </w:tcPr>
          <w:p w14:paraId="36C0D533"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(4,082,743)</w:t>
            </w:r>
          </w:p>
        </w:tc>
        <w:tc>
          <w:tcPr>
            <w:tcW w:w="756" w:type="pct"/>
            <w:tcBorders>
              <w:top w:val="nil"/>
              <w:left w:val="nil"/>
              <w:bottom w:val="single" w:sz="4" w:space="0" w:color="auto"/>
              <w:right w:val="nil"/>
            </w:tcBorders>
            <w:noWrap/>
            <w:vAlign w:val="center"/>
            <w:hideMark/>
          </w:tcPr>
          <w:p w14:paraId="1EBFD6FA"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(3,934,484)</w:t>
            </w:r>
          </w:p>
        </w:tc>
        <w:tc>
          <w:tcPr>
            <w:tcW w:w="367" w:type="pct"/>
            <w:tcBorders>
              <w:top w:val="nil"/>
              <w:left w:val="nil"/>
              <w:bottom w:val="single" w:sz="4" w:space="0" w:color="auto"/>
              <w:right w:val="nil"/>
            </w:tcBorders>
            <w:shd w:val="clear" w:color="000000" w:fill="EEECE1"/>
            <w:noWrap/>
            <w:vAlign w:val="center"/>
            <w:hideMark/>
          </w:tcPr>
          <w:p w14:paraId="40A6F94E"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3.8</w:t>
            </w:r>
          </w:p>
        </w:tc>
      </w:tr>
      <w:tr w:rsidR="00BC37D7" w:rsidRPr="00BB18D5" w14:paraId="7BC59A78" w14:textId="77777777" w:rsidTr="00D40378">
        <w:trPr>
          <w:trHeight w:val="240"/>
          <w:jc w:val="center"/>
        </w:trPr>
        <w:tc>
          <w:tcPr>
            <w:tcW w:w="3121" w:type="pct"/>
            <w:tcBorders>
              <w:top w:val="nil"/>
              <w:left w:val="nil"/>
              <w:bottom w:val="nil"/>
              <w:right w:val="nil"/>
            </w:tcBorders>
            <w:vAlign w:val="bottom"/>
            <w:hideMark/>
          </w:tcPr>
          <w:p w14:paraId="6784F1B9" w14:textId="77777777" w:rsidR="00BC37D7" w:rsidRPr="00BB18D5" w:rsidRDefault="00BC37D7" w:rsidP="00D40378">
            <w:pPr>
              <w:rPr>
                <w:rFonts w:ascii="Roboto Light" w:hAnsi="Roboto Light" w:cs="Arial"/>
                <w:sz w:val="18"/>
                <w:szCs w:val="18"/>
              </w:rPr>
            </w:pPr>
            <w:r>
              <w:rPr>
                <w:rFonts w:ascii="Roboto Light" w:hAnsi="Roboto Light"/>
                <w:sz w:val="18"/>
              </w:rPr>
              <w:t>Profit for the year</w:t>
            </w:r>
          </w:p>
        </w:tc>
        <w:tc>
          <w:tcPr>
            <w:tcW w:w="756" w:type="pct"/>
            <w:tcBorders>
              <w:top w:val="nil"/>
              <w:left w:val="nil"/>
              <w:bottom w:val="nil"/>
              <w:right w:val="nil"/>
            </w:tcBorders>
            <w:shd w:val="clear" w:color="000000" w:fill="EEECE1"/>
            <w:noWrap/>
            <w:vAlign w:val="center"/>
            <w:hideMark/>
          </w:tcPr>
          <w:p w14:paraId="723A431C" w14:textId="77777777" w:rsidR="00BC37D7" w:rsidRPr="00BB18D5" w:rsidRDefault="00BC37D7" w:rsidP="00D40378">
            <w:pPr>
              <w:jc w:val="right"/>
              <w:rPr>
                <w:rFonts w:ascii="Roboto Light" w:hAnsi="Roboto Light" w:cs="Arial"/>
                <w:sz w:val="18"/>
                <w:szCs w:val="18"/>
              </w:rPr>
            </w:pPr>
            <w:r>
              <w:rPr>
                <w:rFonts w:ascii="Roboto Light" w:hAnsi="Roboto Light"/>
                <w:sz w:val="18"/>
              </w:rPr>
              <w:t>230,977</w:t>
            </w:r>
          </w:p>
        </w:tc>
        <w:tc>
          <w:tcPr>
            <w:tcW w:w="756" w:type="pct"/>
            <w:tcBorders>
              <w:top w:val="nil"/>
              <w:left w:val="nil"/>
              <w:bottom w:val="nil"/>
              <w:right w:val="nil"/>
            </w:tcBorders>
            <w:noWrap/>
            <w:vAlign w:val="center"/>
            <w:hideMark/>
          </w:tcPr>
          <w:p w14:paraId="402D8182" w14:textId="77777777" w:rsidR="00BC37D7" w:rsidRPr="00BB18D5" w:rsidRDefault="00BC37D7" w:rsidP="00D40378">
            <w:pPr>
              <w:jc w:val="right"/>
              <w:rPr>
                <w:rFonts w:ascii="Roboto Light" w:hAnsi="Roboto Light" w:cs="Arial"/>
                <w:sz w:val="18"/>
                <w:szCs w:val="18"/>
              </w:rPr>
            </w:pPr>
            <w:r>
              <w:rPr>
                <w:rFonts w:ascii="Roboto Light" w:hAnsi="Roboto Light"/>
                <w:sz w:val="18"/>
              </w:rPr>
              <w:t>224,655</w:t>
            </w:r>
          </w:p>
        </w:tc>
        <w:tc>
          <w:tcPr>
            <w:tcW w:w="367" w:type="pct"/>
            <w:tcBorders>
              <w:top w:val="nil"/>
              <w:left w:val="nil"/>
              <w:bottom w:val="nil"/>
              <w:right w:val="nil"/>
            </w:tcBorders>
            <w:shd w:val="clear" w:color="000000" w:fill="EEECE1"/>
            <w:noWrap/>
            <w:vAlign w:val="center"/>
            <w:hideMark/>
          </w:tcPr>
          <w:p w14:paraId="2CCE2747" w14:textId="77777777" w:rsidR="00BC37D7" w:rsidRPr="00BB18D5" w:rsidRDefault="00BC37D7" w:rsidP="00D40378">
            <w:pPr>
              <w:jc w:val="right"/>
              <w:rPr>
                <w:rFonts w:ascii="Roboto Light" w:hAnsi="Roboto Light" w:cs="Arial"/>
                <w:sz w:val="18"/>
                <w:szCs w:val="18"/>
              </w:rPr>
            </w:pPr>
            <w:r>
              <w:rPr>
                <w:rFonts w:ascii="Roboto Light" w:hAnsi="Roboto Light"/>
                <w:sz w:val="18"/>
              </w:rPr>
              <w:t>2.8</w:t>
            </w:r>
          </w:p>
        </w:tc>
      </w:tr>
      <w:tr w:rsidR="00BC37D7" w:rsidRPr="00BB18D5" w14:paraId="6B190CDE" w14:textId="77777777" w:rsidTr="00D40378">
        <w:trPr>
          <w:trHeight w:val="240"/>
          <w:jc w:val="center"/>
        </w:trPr>
        <w:tc>
          <w:tcPr>
            <w:tcW w:w="3121" w:type="pct"/>
            <w:tcBorders>
              <w:top w:val="nil"/>
              <w:left w:val="nil"/>
              <w:bottom w:val="nil"/>
              <w:right w:val="nil"/>
            </w:tcBorders>
            <w:vAlign w:val="bottom"/>
            <w:hideMark/>
          </w:tcPr>
          <w:p w14:paraId="66C3D8F7" w14:textId="77777777" w:rsidR="00BC37D7" w:rsidRPr="00BB18D5" w:rsidRDefault="00BC37D7" w:rsidP="00D40378">
            <w:pPr>
              <w:rPr>
                <w:rFonts w:ascii="Roboto Light" w:hAnsi="Roboto Light" w:cs="Arial"/>
                <w:sz w:val="18"/>
                <w:szCs w:val="18"/>
              </w:rPr>
            </w:pPr>
            <w:r>
              <w:rPr>
                <w:rFonts w:ascii="Roboto Light" w:hAnsi="Roboto Light"/>
                <w:sz w:val="18"/>
              </w:rPr>
              <w:t>Adjustments for non-financial transactions</w:t>
            </w:r>
          </w:p>
        </w:tc>
        <w:tc>
          <w:tcPr>
            <w:tcW w:w="756" w:type="pct"/>
            <w:tcBorders>
              <w:top w:val="nil"/>
              <w:left w:val="nil"/>
              <w:bottom w:val="nil"/>
              <w:right w:val="nil"/>
            </w:tcBorders>
            <w:shd w:val="clear" w:color="000000" w:fill="EEECE1"/>
            <w:noWrap/>
            <w:vAlign w:val="center"/>
            <w:hideMark/>
          </w:tcPr>
          <w:p w14:paraId="026760D0" w14:textId="77777777" w:rsidR="00BC37D7" w:rsidRPr="00BB18D5" w:rsidRDefault="00BC37D7" w:rsidP="00D40378">
            <w:pPr>
              <w:jc w:val="right"/>
              <w:rPr>
                <w:rFonts w:ascii="Roboto Light" w:hAnsi="Roboto Light" w:cs="Arial"/>
                <w:sz w:val="18"/>
                <w:szCs w:val="18"/>
              </w:rPr>
            </w:pPr>
            <w:r>
              <w:rPr>
                <w:rFonts w:ascii="Roboto Light" w:hAnsi="Roboto Light"/>
                <w:sz w:val="18"/>
              </w:rPr>
              <w:t>905,284</w:t>
            </w:r>
          </w:p>
        </w:tc>
        <w:tc>
          <w:tcPr>
            <w:tcW w:w="756" w:type="pct"/>
            <w:tcBorders>
              <w:top w:val="nil"/>
              <w:left w:val="nil"/>
              <w:bottom w:val="nil"/>
              <w:right w:val="nil"/>
            </w:tcBorders>
            <w:noWrap/>
            <w:vAlign w:val="center"/>
            <w:hideMark/>
          </w:tcPr>
          <w:p w14:paraId="52F9C050" w14:textId="77777777" w:rsidR="00BC37D7" w:rsidRPr="00BB18D5" w:rsidRDefault="00BC37D7" w:rsidP="00D40378">
            <w:pPr>
              <w:jc w:val="right"/>
              <w:rPr>
                <w:rFonts w:ascii="Roboto Light" w:hAnsi="Roboto Light" w:cs="Arial"/>
                <w:sz w:val="18"/>
                <w:szCs w:val="18"/>
              </w:rPr>
            </w:pPr>
            <w:r>
              <w:rPr>
                <w:rFonts w:ascii="Roboto Light" w:hAnsi="Roboto Light"/>
                <w:sz w:val="18"/>
              </w:rPr>
              <w:t>835,282</w:t>
            </w:r>
          </w:p>
        </w:tc>
        <w:tc>
          <w:tcPr>
            <w:tcW w:w="367" w:type="pct"/>
            <w:tcBorders>
              <w:top w:val="nil"/>
              <w:left w:val="nil"/>
              <w:bottom w:val="nil"/>
              <w:right w:val="nil"/>
            </w:tcBorders>
            <w:shd w:val="clear" w:color="000000" w:fill="EEECE1"/>
            <w:noWrap/>
            <w:vAlign w:val="center"/>
            <w:hideMark/>
          </w:tcPr>
          <w:p w14:paraId="5253921C" w14:textId="77777777" w:rsidR="00BC37D7" w:rsidRPr="00BB18D5" w:rsidRDefault="00BC37D7" w:rsidP="00D40378">
            <w:pPr>
              <w:jc w:val="right"/>
              <w:rPr>
                <w:rFonts w:ascii="Roboto Light" w:hAnsi="Roboto Light" w:cs="Arial"/>
                <w:sz w:val="18"/>
                <w:szCs w:val="18"/>
              </w:rPr>
            </w:pPr>
            <w:r>
              <w:rPr>
                <w:rFonts w:ascii="Roboto Light" w:hAnsi="Roboto Light"/>
                <w:sz w:val="18"/>
              </w:rPr>
              <w:t>8.4</w:t>
            </w:r>
          </w:p>
        </w:tc>
      </w:tr>
      <w:tr w:rsidR="00BC37D7" w:rsidRPr="00BB18D5" w14:paraId="280DA733" w14:textId="77777777" w:rsidTr="00D40378">
        <w:trPr>
          <w:trHeight w:val="240"/>
          <w:jc w:val="center"/>
        </w:trPr>
        <w:tc>
          <w:tcPr>
            <w:tcW w:w="3121" w:type="pct"/>
            <w:tcBorders>
              <w:top w:val="nil"/>
              <w:left w:val="nil"/>
              <w:bottom w:val="nil"/>
              <w:right w:val="nil"/>
            </w:tcBorders>
            <w:vAlign w:val="bottom"/>
            <w:hideMark/>
          </w:tcPr>
          <w:p w14:paraId="3B0F928A" w14:textId="77777777" w:rsidR="00BC37D7" w:rsidRPr="00BB18D5" w:rsidRDefault="00BC37D7" w:rsidP="00D40378">
            <w:pPr>
              <w:rPr>
                <w:rFonts w:ascii="Roboto Light" w:hAnsi="Roboto Light" w:cs="Arial"/>
                <w:sz w:val="18"/>
                <w:szCs w:val="18"/>
              </w:rPr>
            </w:pPr>
            <w:r>
              <w:rPr>
                <w:rFonts w:ascii="Roboto Light" w:hAnsi="Roboto Light"/>
                <w:sz w:val="18"/>
              </w:rPr>
              <w:t>Payment of employee benefits</w:t>
            </w:r>
          </w:p>
        </w:tc>
        <w:tc>
          <w:tcPr>
            <w:tcW w:w="756" w:type="pct"/>
            <w:tcBorders>
              <w:top w:val="nil"/>
              <w:left w:val="nil"/>
              <w:bottom w:val="nil"/>
              <w:right w:val="nil"/>
            </w:tcBorders>
            <w:shd w:val="clear" w:color="000000" w:fill="EEECE1"/>
            <w:noWrap/>
            <w:vAlign w:val="center"/>
            <w:hideMark/>
          </w:tcPr>
          <w:p w14:paraId="5F759591" w14:textId="77777777" w:rsidR="00BC37D7" w:rsidRPr="00BB18D5" w:rsidRDefault="00BC37D7" w:rsidP="00D40378">
            <w:pPr>
              <w:jc w:val="right"/>
              <w:rPr>
                <w:rFonts w:ascii="Roboto Light" w:hAnsi="Roboto Light" w:cs="Arial"/>
                <w:sz w:val="18"/>
                <w:szCs w:val="18"/>
              </w:rPr>
            </w:pPr>
            <w:r>
              <w:rPr>
                <w:rFonts w:ascii="Roboto Light" w:hAnsi="Roboto Light"/>
                <w:sz w:val="18"/>
              </w:rPr>
              <w:t>(5,737)</w:t>
            </w:r>
          </w:p>
        </w:tc>
        <w:tc>
          <w:tcPr>
            <w:tcW w:w="756" w:type="pct"/>
            <w:tcBorders>
              <w:top w:val="nil"/>
              <w:left w:val="nil"/>
              <w:bottom w:val="nil"/>
              <w:right w:val="nil"/>
            </w:tcBorders>
            <w:noWrap/>
            <w:vAlign w:val="center"/>
            <w:hideMark/>
          </w:tcPr>
          <w:p w14:paraId="3CF7C8EC" w14:textId="77777777" w:rsidR="00BC37D7" w:rsidRPr="00BB18D5" w:rsidRDefault="00BC37D7" w:rsidP="00D40378">
            <w:pPr>
              <w:jc w:val="right"/>
              <w:rPr>
                <w:rFonts w:ascii="Roboto Light" w:hAnsi="Roboto Light" w:cs="Arial"/>
                <w:sz w:val="18"/>
                <w:szCs w:val="18"/>
              </w:rPr>
            </w:pPr>
            <w:r>
              <w:rPr>
                <w:rFonts w:ascii="Roboto Light" w:hAnsi="Roboto Light"/>
                <w:sz w:val="18"/>
              </w:rPr>
              <w:t>(7,808)</w:t>
            </w:r>
          </w:p>
        </w:tc>
        <w:tc>
          <w:tcPr>
            <w:tcW w:w="367" w:type="pct"/>
            <w:tcBorders>
              <w:top w:val="nil"/>
              <w:left w:val="nil"/>
              <w:bottom w:val="nil"/>
              <w:right w:val="nil"/>
            </w:tcBorders>
            <w:shd w:val="clear" w:color="000000" w:fill="EEECE1"/>
            <w:noWrap/>
            <w:vAlign w:val="center"/>
            <w:hideMark/>
          </w:tcPr>
          <w:p w14:paraId="08E3D922" w14:textId="77777777" w:rsidR="00BC37D7" w:rsidRPr="00BB18D5" w:rsidRDefault="00BC37D7" w:rsidP="00D40378">
            <w:pPr>
              <w:jc w:val="right"/>
              <w:rPr>
                <w:rFonts w:ascii="Roboto Light" w:hAnsi="Roboto Light" w:cs="Arial"/>
                <w:sz w:val="18"/>
                <w:szCs w:val="18"/>
              </w:rPr>
            </w:pPr>
            <w:r>
              <w:rPr>
                <w:rFonts w:ascii="Roboto Light" w:hAnsi="Roboto Light"/>
                <w:sz w:val="18"/>
              </w:rPr>
              <w:t>(26.5)</w:t>
            </w:r>
          </w:p>
        </w:tc>
      </w:tr>
      <w:tr w:rsidR="00BC37D7" w:rsidRPr="00BB18D5" w14:paraId="2221C052" w14:textId="77777777" w:rsidTr="00D40378">
        <w:trPr>
          <w:trHeight w:val="240"/>
          <w:jc w:val="center"/>
        </w:trPr>
        <w:tc>
          <w:tcPr>
            <w:tcW w:w="3121" w:type="pct"/>
            <w:tcBorders>
              <w:top w:val="nil"/>
              <w:left w:val="nil"/>
              <w:bottom w:val="nil"/>
              <w:right w:val="nil"/>
            </w:tcBorders>
            <w:vAlign w:val="bottom"/>
            <w:hideMark/>
          </w:tcPr>
          <w:p w14:paraId="2ED40BB2" w14:textId="77777777" w:rsidR="00BC37D7" w:rsidRPr="00BB18D5" w:rsidRDefault="00BC37D7" w:rsidP="00D40378">
            <w:pPr>
              <w:rPr>
                <w:rFonts w:ascii="Roboto Light" w:hAnsi="Roboto Light" w:cs="Arial"/>
                <w:sz w:val="18"/>
                <w:szCs w:val="18"/>
              </w:rPr>
            </w:pPr>
            <w:r>
              <w:rPr>
                <w:rFonts w:ascii="Roboto Light" w:hAnsi="Roboto Light"/>
                <w:sz w:val="18"/>
              </w:rPr>
              <w:t>Utilisations of provisions for risks and other charges</w:t>
            </w:r>
          </w:p>
        </w:tc>
        <w:tc>
          <w:tcPr>
            <w:tcW w:w="756" w:type="pct"/>
            <w:tcBorders>
              <w:top w:val="nil"/>
              <w:left w:val="nil"/>
              <w:bottom w:val="nil"/>
              <w:right w:val="nil"/>
            </w:tcBorders>
            <w:shd w:val="clear" w:color="000000" w:fill="EEECE1"/>
            <w:noWrap/>
            <w:vAlign w:val="center"/>
            <w:hideMark/>
          </w:tcPr>
          <w:p w14:paraId="17D18009" w14:textId="77777777" w:rsidR="00BC37D7" w:rsidRPr="00BB18D5" w:rsidRDefault="00BC37D7" w:rsidP="00D40378">
            <w:pPr>
              <w:jc w:val="right"/>
              <w:rPr>
                <w:rFonts w:ascii="Roboto Light" w:hAnsi="Roboto Light" w:cs="Arial"/>
                <w:sz w:val="18"/>
                <w:szCs w:val="18"/>
              </w:rPr>
            </w:pPr>
            <w:r>
              <w:rPr>
                <w:rFonts w:ascii="Roboto Light" w:hAnsi="Roboto Light"/>
                <w:sz w:val="18"/>
              </w:rPr>
              <w:t>(151,351)</w:t>
            </w:r>
          </w:p>
        </w:tc>
        <w:tc>
          <w:tcPr>
            <w:tcW w:w="756" w:type="pct"/>
            <w:tcBorders>
              <w:top w:val="nil"/>
              <w:left w:val="nil"/>
              <w:bottom w:val="nil"/>
              <w:right w:val="nil"/>
            </w:tcBorders>
            <w:noWrap/>
            <w:vAlign w:val="center"/>
            <w:hideMark/>
          </w:tcPr>
          <w:p w14:paraId="5B29A0F9" w14:textId="77777777" w:rsidR="00BC37D7" w:rsidRPr="00BB18D5" w:rsidRDefault="00BC37D7" w:rsidP="00D40378">
            <w:pPr>
              <w:jc w:val="right"/>
              <w:rPr>
                <w:rFonts w:ascii="Roboto Light" w:hAnsi="Roboto Light" w:cs="Arial"/>
                <w:sz w:val="18"/>
                <w:szCs w:val="18"/>
              </w:rPr>
            </w:pPr>
            <w:r>
              <w:rPr>
                <w:rFonts w:ascii="Roboto Light" w:hAnsi="Roboto Light"/>
                <w:sz w:val="18"/>
              </w:rPr>
              <w:t>(267,552)</w:t>
            </w:r>
          </w:p>
        </w:tc>
        <w:tc>
          <w:tcPr>
            <w:tcW w:w="367" w:type="pct"/>
            <w:tcBorders>
              <w:top w:val="nil"/>
              <w:left w:val="nil"/>
              <w:bottom w:val="nil"/>
              <w:right w:val="nil"/>
            </w:tcBorders>
            <w:shd w:val="clear" w:color="000000" w:fill="EEECE1"/>
            <w:noWrap/>
            <w:vAlign w:val="center"/>
            <w:hideMark/>
          </w:tcPr>
          <w:p w14:paraId="67116A23" w14:textId="77777777" w:rsidR="00BC37D7" w:rsidRPr="00BB18D5" w:rsidRDefault="00BC37D7" w:rsidP="00D40378">
            <w:pPr>
              <w:jc w:val="right"/>
              <w:rPr>
                <w:rFonts w:ascii="Roboto Light" w:hAnsi="Roboto Light" w:cs="Arial"/>
                <w:sz w:val="18"/>
                <w:szCs w:val="18"/>
              </w:rPr>
            </w:pPr>
            <w:r>
              <w:rPr>
                <w:rFonts w:ascii="Roboto Light" w:hAnsi="Roboto Light"/>
                <w:sz w:val="18"/>
              </w:rPr>
              <w:t>(43.4)</w:t>
            </w:r>
          </w:p>
        </w:tc>
      </w:tr>
      <w:tr w:rsidR="00BC37D7" w:rsidRPr="00BB18D5" w14:paraId="47D00B50" w14:textId="77777777" w:rsidTr="00D40378">
        <w:trPr>
          <w:trHeight w:val="240"/>
          <w:jc w:val="center"/>
        </w:trPr>
        <w:tc>
          <w:tcPr>
            <w:tcW w:w="3121" w:type="pct"/>
            <w:tcBorders>
              <w:top w:val="nil"/>
              <w:left w:val="nil"/>
              <w:bottom w:val="nil"/>
              <w:right w:val="nil"/>
            </w:tcBorders>
            <w:vAlign w:val="bottom"/>
            <w:hideMark/>
          </w:tcPr>
          <w:p w14:paraId="03DBCA15" w14:textId="77777777" w:rsidR="00BC37D7" w:rsidRPr="00BB18D5" w:rsidRDefault="00BC37D7" w:rsidP="00D40378">
            <w:pPr>
              <w:rPr>
                <w:rFonts w:ascii="Roboto Light" w:hAnsi="Roboto Light" w:cs="Arial"/>
                <w:sz w:val="18"/>
                <w:szCs w:val="18"/>
              </w:rPr>
            </w:pPr>
            <w:r>
              <w:rPr>
                <w:rFonts w:ascii="Roboto Light" w:hAnsi="Roboto Light"/>
                <w:sz w:val="18"/>
              </w:rPr>
              <w:t>Change in other non-current assets and liabilities</w:t>
            </w:r>
          </w:p>
        </w:tc>
        <w:tc>
          <w:tcPr>
            <w:tcW w:w="756" w:type="pct"/>
            <w:tcBorders>
              <w:top w:val="nil"/>
              <w:left w:val="nil"/>
              <w:bottom w:val="nil"/>
              <w:right w:val="nil"/>
            </w:tcBorders>
            <w:shd w:val="clear" w:color="000000" w:fill="EEECE1"/>
            <w:noWrap/>
            <w:vAlign w:val="center"/>
            <w:hideMark/>
          </w:tcPr>
          <w:p w14:paraId="21E43543" w14:textId="77777777" w:rsidR="00BC37D7" w:rsidRPr="00BB18D5" w:rsidRDefault="00BC37D7" w:rsidP="00D40378">
            <w:pPr>
              <w:jc w:val="right"/>
              <w:rPr>
                <w:rFonts w:ascii="Roboto Light" w:hAnsi="Roboto Light" w:cs="Arial"/>
                <w:sz w:val="18"/>
                <w:szCs w:val="18"/>
              </w:rPr>
            </w:pPr>
            <w:r>
              <w:rPr>
                <w:rFonts w:ascii="Roboto Light" w:hAnsi="Roboto Light"/>
                <w:sz w:val="18"/>
              </w:rPr>
              <w:t>83,797</w:t>
            </w:r>
          </w:p>
        </w:tc>
        <w:tc>
          <w:tcPr>
            <w:tcW w:w="756" w:type="pct"/>
            <w:tcBorders>
              <w:top w:val="nil"/>
              <w:left w:val="nil"/>
              <w:bottom w:val="nil"/>
              <w:right w:val="nil"/>
            </w:tcBorders>
            <w:noWrap/>
            <w:vAlign w:val="center"/>
            <w:hideMark/>
          </w:tcPr>
          <w:p w14:paraId="4ADC1691" w14:textId="77777777" w:rsidR="00BC37D7" w:rsidRPr="00BB18D5" w:rsidRDefault="00BC37D7" w:rsidP="00D40378">
            <w:pPr>
              <w:jc w:val="right"/>
              <w:rPr>
                <w:rFonts w:ascii="Roboto Light" w:hAnsi="Roboto Light" w:cs="Arial"/>
                <w:sz w:val="18"/>
                <w:szCs w:val="18"/>
              </w:rPr>
            </w:pPr>
            <w:r>
              <w:rPr>
                <w:rFonts w:ascii="Roboto Light" w:hAnsi="Roboto Light"/>
                <w:sz w:val="18"/>
              </w:rPr>
              <w:t>30,279</w:t>
            </w:r>
          </w:p>
        </w:tc>
        <w:tc>
          <w:tcPr>
            <w:tcW w:w="367" w:type="pct"/>
            <w:tcBorders>
              <w:top w:val="nil"/>
              <w:left w:val="nil"/>
              <w:bottom w:val="nil"/>
              <w:right w:val="nil"/>
            </w:tcBorders>
            <w:shd w:val="clear" w:color="000000" w:fill="EEECE1"/>
            <w:noWrap/>
            <w:vAlign w:val="center"/>
            <w:hideMark/>
          </w:tcPr>
          <w:p w14:paraId="785AA099" w14:textId="77777777" w:rsidR="00BC37D7" w:rsidRPr="00BB18D5" w:rsidRDefault="00BC37D7" w:rsidP="00D40378">
            <w:pPr>
              <w:jc w:val="right"/>
              <w:rPr>
                <w:rFonts w:ascii="Roboto Light" w:hAnsi="Roboto Light" w:cs="Arial"/>
                <w:sz w:val="18"/>
                <w:szCs w:val="18"/>
              </w:rPr>
            </w:pPr>
            <w:r>
              <w:rPr>
                <w:rFonts w:ascii="Roboto Light" w:hAnsi="Roboto Light"/>
                <w:sz w:val="18"/>
              </w:rPr>
              <w:t>(*)</w:t>
            </w:r>
          </w:p>
        </w:tc>
      </w:tr>
      <w:tr w:rsidR="00BC37D7" w:rsidRPr="00BB18D5" w14:paraId="42C962EA" w14:textId="77777777" w:rsidTr="00D40378">
        <w:trPr>
          <w:trHeight w:val="240"/>
          <w:jc w:val="center"/>
        </w:trPr>
        <w:tc>
          <w:tcPr>
            <w:tcW w:w="3121" w:type="pct"/>
            <w:tcBorders>
              <w:top w:val="nil"/>
              <w:left w:val="nil"/>
              <w:bottom w:val="nil"/>
              <w:right w:val="nil"/>
            </w:tcBorders>
            <w:vAlign w:val="bottom"/>
            <w:hideMark/>
          </w:tcPr>
          <w:p w14:paraId="134ECE1D" w14:textId="77777777" w:rsidR="00BC37D7" w:rsidRPr="00BB18D5" w:rsidRDefault="00BC37D7" w:rsidP="00D40378">
            <w:pPr>
              <w:rPr>
                <w:rFonts w:ascii="Roboto Light" w:hAnsi="Roboto Light" w:cs="Arial"/>
                <w:sz w:val="18"/>
                <w:szCs w:val="18"/>
              </w:rPr>
            </w:pPr>
            <w:r>
              <w:rPr>
                <w:rFonts w:ascii="Roboto Light" w:hAnsi="Roboto Light"/>
                <w:sz w:val="18"/>
              </w:rPr>
              <w:t>Taxes paid</w:t>
            </w:r>
          </w:p>
        </w:tc>
        <w:tc>
          <w:tcPr>
            <w:tcW w:w="756" w:type="pct"/>
            <w:tcBorders>
              <w:top w:val="nil"/>
              <w:left w:val="nil"/>
              <w:bottom w:val="nil"/>
              <w:right w:val="nil"/>
            </w:tcBorders>
            <w:shd w:val="clear" w:color="000000" w:fill="EEECE1"/>
            <w:noWrap/>
            <w:vAlign w:val="center"/>
            <w:hideMark/>
          </w:tcPr>
          <w:p w14:paraId="5145DE0A" w14:textId="77777777" w:rsidR="00BC37D7" w:rsidRPr="00BB18D5" w:rsidRDefault="00BC37D7" w:rsidP="00D40378">
            <w:pPr>
              <w:jc w:val="right"/>
              <w:rPr>
                <w:rFonts w:ascii="Roboto Light" w:hAnsi="Roboto Light" w:cs="Arial"/>
                <w:sz w:val="18"/>
                <w:szCs w:val="18"/>
              </w:rPr>
            </w:pPr>
            <w:r>
              <w:rPr>
                <w:rFonts w:ascii="Roboto Light" w:hAnsi="Roboto Light"/>
                <w:sz w:val="18"/>
              </w:rPr>
              <w:t>(46,326)</w:t>
            </w:r>
          </w:p>
        </w:tc>
        <w:tc>
          <w:tcPr>
            <w:tcW w:w="756" w:type="pct"/>
            <w:tcBorders>
              <w:top w:val="nil"/>
              <w:left w:val="nil"/>
              <w:bottom w:val="nil"/>
              <w:right w:val="nil"/>
            </w:tcBorders>
            <w:noWrap/>
            <w:vAlign w:val="center"/>
            <w:hideMark/>
          </w:tcPr>
          <w:p w14:paraId="0064059F" w14:textId="77777777" w:rsidR="00BC37D7" w:rsidRPr="00BB18D5" w:rsidRDefault="00BC37D7" w:rsidP="00D40378">
            <w:pPr>
              <w:jc w:val="right"/>
              <w:rPr>
                <w:rFonts w:ascii="Roboto Light" w:hAnsi="Roboto Light" w:cs="Arial"/>
                <w:sz w:val="18"/>
                <w:szCs w:val="18"/>
              </w:rPr>
            </w:pPr>
            <w:r>
              <w:rPr>
                <w:rFonts w:ascii="Roboto Light" w:hAnsi="Roboto Light"/>
                <w:sz w:val="18"/>
              </w:rPr>
              <w:t>(104,283)</w:t>
            </w:r>
          </w:p>
        </w:tc>
        <w:tc>
          <w:tcPr>
            <w:tcW w:w="367" w:type="pct"/>
            <w:tcBorders>
              <w:top w:val="nil"/>
              <w:left w:val="nil"/>
              <w:bottom w:val="nil"/>
              <w:right w:val="nil"/>
            </w:tcBorders>
            <w:shd w:val="clear" w:color="000000" w:fill="EEECE1"/>
            <w:noWrap/>
            <w:vAlign w:val="center"/>
            <w:hideMark/>
          </w:tcPr>
          <w:p w14:paraId="18384C07" w14:textId="77777777" w:rsidR="00BC37D7" w:rsidRPr="00BB18D5" w:rsidRDefault="00BC37D7" w:rsidP="00D40378">
            <w:pPr>
              <w:jc w:val="right"/>
              <w:rPr>
                <w:rFonts w:ascii="Roboto Light" w:hAnsi="Roboto Light" w:cs="Arial"/>
                <w:sz w:val="18"/>
                <w:szCs w:val="18"/>
              </w:rPr>
            </w:pPr>
            <w:r>
              <w:rPr>
                <w:rFonts w:ascii="Roboto Light" w:hAnsi="Roboto Light"/>
                <w:sz w:val="18"/>
              </w:rPr>
              <w:t>(55.6)</w:t>
            </w:r>
          </w:p>
        </w:tc>
      </w:tr>
      <w:tr w:rsidR="00BC37D7" w:rsidRPr="00BB18D5" w14:paraId="3E4C4215" w14:textId="77777777" w:rsidTr="00D40378">
        <w:trPr>
          <w:trHeight w:val="240"/>
          <w:jc w:val="center"/>
        </w:trPr>
        <w:tc>
          <w:tcPr>
            <w:tcW w:w="3121" w:type="pct"/>
            <w:tcBorders>
              <w:top w:val="nil"/>
              <w:left w:val="nil"/>
              <w:bottom w:val="nil"/>
              <w:right w:val="nil"/>
            </w:tcBorders>
            <w:vAlign w:val="bottom"/>
            <w:hideMark/>
          </w:tcPr>
          <w:p w14:paraId="42E47FF5" w14:textId="77777777" w:rsidR="00BC37D7" w:rsidRPr="00BB18D5" w:rsidRDefault="00BC37D7" w:rsidP="00D40378">
            <w:pPr>
              <w:rPr>
                <w:rFonts w:ascii="Roboto Light" w:hAnsi="Roboto Light" w:cs="Arial"/>
                <w:sz w:val="18"/>
                <w:szCs w:val="18"/>
              </w:rPr>
            </w:pPr>
            <w:r>
              <w:rPr>
                <w:rFonts w:ascii="Roboto Light" w:hAnsi="Roboto Light"/>
                <w:sz w:val="18"/>
              </w:rPr>
              <w:t>Other changes in equity</w:t>
            </w:r>
          </w:p>
        </w:tc>
        <w:tc>
          <w:tcPr>
            <w:tcW w:w="756" w:type="pct"/>
            <w:tcBorders>
              <w:top w:val="nil"/>
              <w:left w:val="nil"/>
              <w:bottom w:val="nil"/>
              <w:right w:val="nil"/>
            </w:tcBorders>
            <w:shd w:val="clear" w:color="000000" w:fill="EEECE1"/>
            <w:noWrap/>
            <w:vAlign w:val="center"/>
            <w:hideMark/>
          </w:tcPr>
          <w:p w14:paraId="530DBAF6" w14:textId="77777777" w:rsidR="00BC37D7" w:rsidRPr="00BB18D5" w:rsidRDefault="00BC37D7" w:rsidP="00D40378">
            <w:pPr>
              <w:jc w:val="right"/>
              <w:rPr>
                <w:rFonts w:ascii="Roboto Light" w:hAnsi="Roboto Light" w:cs="Arial"/>
                <w:sz w:val="18"/>
                <w:szCs w:val="18"/>
              </w:rPr>
            </w:pPr>
            <w:r>
              <w:rPr>
                <w:rFonts w:ascii="Roboto Light" w:hAnsi="Roboto Light"/>
                <w:sz w:val="18"/>
              </w:rPr>
              <w:t>85</w:t>
            </w:r>
          </w:p>
        </w:tc>
        <w:tc>
          <w:tcPr>
            <w:tcW w:w="756" w:type="pct"/>
            <w:tcBorders>
              <w:top w:val="nil"/>
              <w:left w:val="nil"/>
              <w:bottom w:val="nil"/>
              <w:right w:val="nil"/>
            </w:tcBorders>
            <w:noWrap/>
            <w:vAlign w:val="center"/>
            <w:hideMark/>
          </w:tcPr>
          <w:p w14:paraId="50CA4ADB" w14:textId="77777777" w:rsidR="00BC37D7" w:rsidRPr="00BB18D5" w:rsidRDefault="00BC37D7" w:rsidP="00D40378">
            <w:pPr>
              <w:jc w:val="right"/>
              <w:rPr>
                <w:rFonts w:ascii="Roboto Light" w:hAnsi="Roboto Light" w:cs="Arial"/>
                <w:sz w:val="18"/>
                <w:szCs w:val="18"/>
              </w:rPr>
            </w:pPr>
            <w:r>
              <w:rPr>
                <w:rFonts w:ascii="Roboto Light" w:hAnsi="Roboto Light"/>
                <w:sz w:val="18"/>
              </w:rPr>
              <w:t>94</w:t>
            </w:r>
          </w:p>
        </w:tc>
        <w:tc>
          <w:tcPr>
            <w:tcW w:w="367" w:type="pct"/>
            <w:tcBorders>
              <w:top w:val="nil"/>
              <w:left w:val="nil"/>
              <w:bottom w:val="nil"/>
              <w:right w:val="nil"/>
            </w:tcBorders>
            <w:shd w:val="clear" w:color="000000" w:fill="EEECE1"/>
            <w:noWrap/>
            <w:vAlign w:val="center"/>
            <w:hideMark/>
          </w:tcPr>
          <w:p w14:paraId="7BA68514" w14:textId="77777777" w:rsidR="00BC37D7" w:rsidRPr="00BB18D5" w:rsidRDefault="00BC37D7" w:rsidP="00D40378">
            <w:pPr>
              <w:jc w:val="right"/>
              <w:rPr>
                <w:rFonts w:ascii="Roboto Light" w:hAnsi="Roboto Light" w:cs="Arial"/>
                <w:sz w:val="18"/>
                <w:szCs w:val="18"/>
              </w:rPr>
            </w:pPr>
            <w:r>
              <w:rPr>
                <w:rFonts w:ascii="Roboto Light" w:hAnsi="Roboto Light"/>
                <w:sz w:val="18"/>
              </w:rPr>
              <w:t>(9.6)</w:t>
            </w:r>
          </w:p>
        </w:tc>
      </w:tr>
      <w:tr w:rsidR="00BC37D7" w:rsidRPr="00BB18D5" w14:paraId="78993D6D" w14:textId="77777777" w:rsidTr="00D40378">
        <w:trPr>
          <w:trHeight w:val="240"/>
          <w:jc w:val="center"/>
        </w:trPr>
        <w:tc>
          <w:tcPr>
            <w:tcW w:w="3121" w:type="pct"/>
            <w:tcBorders>
              <w:top w:val="nil"/>
              <w:left w:val="nil"/>
              <w:bottom w:val="nil"/>
              <w:right w:val="nil"/>
            </w:tcBorders>
            <w:vAlign w:val="bottom"/>
            <w:hideMark/>
          </w:tcPr>
          <w:p w14:paraId="0E8FF62D" w14:textId="77777777" w:rsidR="00BC37D7" w:rsidRPr="00BB18D5" w:rsidRDefault="00BC37D7" w:rsidP="00D40378">
            <w:pPr>
              <w:rPr>
                <w:rFonts w:ascii="Roboto Light" w:hAnsi="Roboto Light" w:cs="Arial"/>
                <w:sz w:val="18"/>
                <w:szCs w:val="18"/>
              </w:rPr>
            </w:pPr>
            <w:r>
              <w:rPr>
                <w:rFonts w:ascii="Roboto Light" w:hAnsi="Roboto Light"/>
                <w:sz w:val="18"/>
              </w:rPr>
              <w:t>Cash flows from changes in NWC</w:t>
            </w:r>
          </w:p>
        </w:tc>
        <w:tc>
          <w:tcPr>
            <w:tcW w:w="756" w:type="pct"/>
            <w:tcBorders>
              <w:top w:val="nil"/>
              <w:left w:val="nil"/>
              <w:bottom w:val="nil"/>
              <w:right w:val="nil"/>
            </w:tcBorders>
            <w:shd w:val="clear" w:color="000000" w:fill="EEECE1"/>
            <w:noWrap/>
            <w:vAlign w:val="center"/>
            <w:hideMark/>
          </w:tcPr>
          <w:p w14:paraId="43E3C7F5" w14:textId="77777777" w:rsidR="00BC37D7" w:rsidRPr="00BB18D5" w:rsidRDefault="00BC37D7" w:rsidP="00D40378">
            <w:pPr>
              <w:jc w:val="right"/>
              <w:rPr>
                <w:rFonts w:ascii="Roboto Light" w:hAnsi="Roboto Light" w:cs="Arial"/>
                <w:sz w:val="18"/>
                <w:szCs w:val="18"/>
              </w:rPr>
            </w:pPr>
            <w:r>
              <w:rPr>
                <w:rFonts w:ascii="Roboto Light" w:hAnsi="Roboto Light"/>
                <w:sz w:val="18"/>
              </w:rPr>
              <w:t>(348,645)</w:t>
            </w:r>
          </w:p>
        </w:tc>
        <w:tc>
          <w:tcPr>
            <w:tcW w:w="756" w:type="pct"/>
            <w:tcBorders>
              <w:top w:val="nil"/>
              <w:left w:val="nil"/>
              <w:bottom w:val="nil"/>
              <w:right w:val="nil"/>
            </w:tcBorders>
            <w:noWrap/>
            <w:vAlign w:val="center"/>
            <w:hideMark/>
          </w:tcPr>
          <w:p w14:paraId="147AD0E8" w14:textId="77777777" w:rsidR="00BC37D7" w:rsidRPr="00BB18D5" w:rsidRDefault="00BC37D7" w:rsidP="00D40378">
            <w:pPr>
              <w:jc w:val="right"/>
              <w:rPr>
                <w:rFonts w:ascii="Roboto Light" w:hAnsi="Roboto Light" w:cs="Arial"/>
                <w:sz w:val="18"/>
                <w:szCs w:val="18"/>
              </w:rPr>
            </w:pPr>
            <w:r>
              <w:rPr>
                <w:rFonts w:ascii="Roboto Light" w:hAnsi="Roboto Light"/>
                <w:sz w:val="18"/>
              </w:rPr>
              <w:t>87,359</w:t>
            </w:r>
          </w:p>
        </w:tc>
        <w:tc>
          <w:tcPr>
            <w:tcW w:w="367" w:type="pct"/>
            <w:tcBorders>
              <w:top w:val="nil"/>
              <w:left w:val="nil"/>
              <w:bottom w:val="nil"/>
              <w:right w:val="nil"/>
            </w:tcBorders>
            <w:shd w:val="clear" w:color="000000" w:fill="EEECE1"/>
            <w:noWrap/>
            <w:vAlign w:val="center"/>
            <w:hideMark/>
          </w:tcPr>
          <w:p w14:paraId="46AD1206" w14:textId="77777777" w:rsidR="00BC37D7" w:rsidRPr="00BB18D5" w:rsidRDefault="00BC37D7" w:rsidP="00D40378">
            <w:pPr>
              <w:jc w:val="right"/>
              <w:rPr>
                <w:rFonts w:ascii="Roboto Light" w:hAnsi="Roboto Light" w:cs="Arial"/>
                <w:sz w:val="18"/>
                <w:szCs w:val="18"/>
              </w:rPr>
            </w:pPr>
            <w:r>
              <w:rPr>
                <w:rFonts w:ascii="Roboto Light" w:hAnsi="Roboto Light"/>
                <w:sz w:val="18"/>
              </w:rPr>
              <w:t>(*)</w:t>
            </w:r>
          </w:p>
        </w:tc>
      </w:tr>
      <w:tr w:rsidR="00BC37D7" w:rsidRPr="00BB18D5" w14:paraId="2D83DFC2" w14:textId="77777777" w:rsidTr="00D40378">
        <w:trPr>
          <w:trHeight w:val="240"/>
          <w:jc w:val="center"/>
        </w:trPr>
        <w:tc>
          <w:tcPr>
            <w:tcW w:w="3121" w:type="pct"/>
            <w:tcBorders>
              <w:top w:val="nil"/>
              <w:left w:val="nil"/>
              <w:bottom w:val="nil"/>
              <w:right w:val="nil"/>
            </w:tcBorders>
            <w:vAlign w:val="bottom"/>
            <w:hideMark/>
          </w:tcPr>
          <w:p w14:paraId="29D68937" w14:textId="77777777" w:rsidR="00BC37D7" w:rsidRPr="00BB18D5" w:rsidRDefault="00BC37D7" w:rsidP="00D40378">
            <w:pPr>
              <w:rPr>
                <w:rFonts w:ascii="Roboto Light" w:hAnsi="Roboto Light" w:cs="Arial"/>
                <w:sz w:val="18"/>
                <w:szCs w:val="18"/>
              </w:rPr>
            </w:pPr>
            <w:r>
              <w:rPr>
                <w:rFonts w:ascii="Roboto Light" w:hAnsi="Roboto Light"/>
                <w:sz w:val="18"/>
              </w:rPr>
              <w:t>Change in market exposure for commodity derivatives</w:t>
            </w:r>
          </w:p>
        </w:tc>
        <w:tc>
          <w:tcPr>
            <w:tcW w:w="756" w:type="pct"/>
            <w:tcBorders>
              <w:top w:val="nil"/>
              <w:left w:val="nil"/>
              <w:bottom w:val="nil"/>
              <w:right w:val="nil"/>
            </w:tcBorders>
            <w:shd w:val="clear" w:color="000000" w:fill="EEECE1"/>
            <w:noWrap/>
            <w:vAlign w:val="center"/>
            <w:hideMark/>
          </w:tcPr>
          <w:p w14:paraId="265ADE52" w14:textId="77777777" w:rsidR="00BC37D7" w:rsidRPr="00BB18D5" w:rsidRDefault="00BC37D7" w:rsidP="00D40378">
            <w:pPr>
              <w:jc w:val="right"/>
              <w:rPr>
                <w:rFonts w:ascii="Roboto Light" w:hAnsi="Roboto Light" w:cs="Arial"/>
                <w:sz w:val="18"/>
                <w:szCs w:val="18"/>
              </w:rPr>
            </w:pPr>
            <w:r>
              <w:rPr>
                <w:rFonts w:ascii="Roboto Light" w:hAnsi="Roboto Light"/>
                <w:sz w:val="18"/>
              </w:rPr>
              <w:t>30,984</w:t>
            </w:r>
          </w:p>
        </w:tc>
        <w:tc>
          <w:tcPr>
            <w:tcW w:w="756" w:type="pct"/>
            <w:tcBorders>
              <w:top w:val="nil"/>
              <w:left w:val="nil"/>
              <w:bottom w:val="nil"/>
              <w:right w:val="nil"/>
            </w:tcBorders>
            <w:noWrap/>
            <w:vAlign w:val="center"/>
            <w:hideMark/>
          </w:tcPr>
          <w:p w14:paraId="070FB361" w14:textId="77777777" w:rsidR="00BC37D7" w:rsidRPr="00BB18D5" w:rsidRDefault="00BC37D7" w:rsidP="00D40378">
            <w:pPr>
              <w:jc w:val="right"/>
              <w:rPr>
                <w:rFonts w:ascii="Roboto Light" w:hAnsi="Roboto Light" w:cs="Arial"/>
                <w:sz w:val="18"/>
                <w:szCs w:val="18"/>
              </w:rPr>
            </w:pPr>
            <w:r>
              <w:rPr>
                <w:rFonts w:ascii="Roboto Light" w:hAnsi="Roboto Light"/>
                <w:sz w:val="18"/>
              </w:rPr>
              <w:t>(41,499)</w:t>
            </w:r>
          </w:p>
        </w:tc>
        <w:tc>
          <w:tcPr>
            <w:tcW w:w="367" w:type="pct"/>
            <w:tcBorders>
              <w:top w:val="nil"/>
              <w:left w:val="nil"/>
              <w:bottom w:val="nil"/>
              <w:right w:val="nil"/>
            </w:tcBorders>
            <w:shd w:val="clear" w:color="000000" w:fill="EEECE1"/>
            <w:noWrap/>
            <w:vAlign w:val="center"/>
            <w:hideMark/>
          </w:tcPr>
          <w:p w14:paraId="00613D93" w14:textId="77777777" w:rsidR="00BC37D7" w:rsidRPr="00BB18D5" w:rsidRDefault="00BC37D7" w:rsidP="00D40378">
            <w:pPr>
              <w:jc w:val="right"/>
              <w:rPr>
                <w:rFonts w:ascii="Roboto Light" w:hAnsi="Roboto Light" w:cs="Arial"/>
                <w:sz w:val="18"/>
                <w:szCs w:val="18"/>
              </w:rPr>
            </w:pPr>
            <w:r>
              <w:rPr>
                <w:rFonts w:ascii="Roboto Light" w:hAnsi="Roboto Light"/>
                <w:sz w:val="18"/>
              </w:rPr>
              <w:t>(*)</w:t>
            </w:r>
          </w:p>
        </w:tc>
      </w:tr>
      <w:tr w:rsidR="00BC37D7" w:rsidRPr="00BB18D5" w14:paraId="4B00EF62" w14:textId="77777777" w:rsidTr="00D40378">
        <w:trPr>
          <w:trHeight w:val="240"/>
          <w:jc w:val="center"/>
        </w:trPr>
        <w:tc>
          <w:tcPr>
            <w:tcW w:w="3121" w:type="pct"/>
            <w:tcBorders>
              <w:top w:val="single" w:sz="4" w:space="0" w:color="auto"/>
              <w:left w:val="nil"/>
              <w:bottom w:val="single" w:sz="4" w:space="0" w:color="auto"/>
              <w:right w:val="nil"/>
            </w:tcBorders>
            <w:vAlign w:val="bottom"/>
            <w:hideMark/>
          </w:tcPr>
          <w:p w14:paraId="372BE786" w14:textId="77777777" w:rsidR="00BC37D7" w:rsidRPr="00BB18D5" w:rsidRDefault="00BC37D7" w:rsidP="00D40378">
            <w:pPr>
              <w:rPr>
                <w:rFonts w:ascii="Roboto Light" w:hAnsi="Roboto Light" w:cs="Arial"/>
                <w:b/>
                <w:bCs/>
                <w:sz w:val="18"/>
                <w:szCs w:val="18"/>
              </w:rPr>
            </w:pPr>
            <w:r>
              <w:rPr>
                <w:rFonts w:ascii="Roboto Light" w:hAnsi="Roboto Light"/>
                <w:b/>
                <w:sz w:val="18"/>
              </w:rPr>
              <w:t>Cash flows from operating activities</w:t>
            </w:r>
          </w:p>
        </w:tc>
        <w:tc>
          <w:tcPr>
            <w:tcW w:w="756" w:type="pct"/>
            <w:tcBorders>
              <w:top w:val="single" w:sz="4" w:space="0" w:color="auto"/>
              <w:left w:val="nil"/>
              <w:bottom w:val="single" w:sz="4" w:space="0" w:color="auto"/>
              <w:right w:val="nil"/>
            </w:tcBorders>
            <w:shd w:val="clear" w:color="000000" w:fill="EEECE1"/>
            <w:noWrap/>
            <w:vAlign w:val="center"/>
            <w:hideMark/>
          </w:tcPr>
          <w:p w14:paraId="2A5DE3EF"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699,068</w:t>
            </w:r>
          </w:p>
        </w:tc>
        <w:tc>
          <w:tcPr>
            <w:tcW w:w="756" w:type="pct"/>
            <w:tcBorders>
              <w:top w:val="single" w:sz="4" w:space="0" w:color="auto"/>
              <w:left w:val="nil"/>
              <w:bottom w:val="single" w:sz="4" w:space="0" w:color="auto"/>
              <w:right w:val="nil"/>
            </w:tcBorders>
            <w:noWrap/>
            <w:vAlign w:val="center"/>
            <w:hideMark/>
          </w:tcPr>
          <w:p w14:paraId="6EFE2302"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756,527</w:t>
            </w:r>
          </w:p>
        </w:tc>
        <w:tc>
          <w:tcPr>
            <w:tcW w:w="367" w:type="pct"/>
            <w:tcBorders>
              <w:top w:val="single" w:sz="4" w:space="0" w:color="auto"/>
              <w:left w:val="nil"/>
              <w:bottom w:val="single" w:sz="4" w:space="0" w:color="auto"/>
              <w:right w:val="nil"/>
            </w:tcBorders>
            <w:shd w:val="clear" w:color="000000" w:fill="EEECE1"/>
            <w:noWrap/>
            <w:vAlign w:val="center"/>
            <w:hideMark/>
          </w:tcPr>
          <w:p w14:paraId="2692061B"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(7.6)</w:t>
            </w:r>
          </w:p>
        </w:tc>
      </w:tr>
      <w:tr w:rsidR="00BC37D7" w:rsidRPr="00BB18D5" w14:paraId="258FD8BB" w14:textId="77777777" w:rsidTr="00D40378">
        <w:trPr>
          <w:trHeight w:val="240"/>
          <w:jc w:val="center"/>
        </w:trPr>
        <w:tc>
          <w:tcPr>
            <w:tcW w:w="3121" w:type="pct"/>
            <w:tcBorders>
              <w:top w:val="nil"/>
              <w:left w:val="nil"/>
              <w:bottom w:val="nil"/>
              <w:right w:val="nil"/>
            </w:tcBorders>
            <w:vAlign w:val="bottom"/>
            <w:hideMark/>
          </w:tcPr>
          <w:p w14:paraId="7DEC5791" w14:textId="77777777" w:rsidR="00BC37D7" w:rsidRPr="00BB18D5" w:rsidRDefault="00BC37D7" w:rsidP="00D40378">
            <w:pPr>
              <w:rPr>
                <w:rFonts w:ascii="Roboto Light" w:hAnsi="Roboto Light" w:cs="Arial"/>
                <w:sz w:val="18"/>
                <w:szCs w:val="18"/>
              </w:rPr>
            </w:pPr>
            <w:r>
              <w:rPr>
                <w:rFonts w:ascii="Roboto Light" w:hAnsi="Roboto Light"/>
                <w:sz w:val="18"/>
              </w:rPr>
              <w:t>Investments in property, plant and equipment and intangible assets</w:t>
            </w:r>
          </w:p>
        </w:tc>
        <w:tc>
          <w:tcPr>
            <w:tcW w:w="756" w:type="pct"/>
            <w:tcBorders>
              <w:top w:val="nil"/>
              <w:left w:val="nil"/>
              <w:bottom w:val="nil"/>
              <w:right w:val="nil"/>
            </w:tcBorders>
            <w:shd w:val="clear" w:color="000000" w:fill="EEECE1"/>
            <w:noWrap/>
            <w:vAlign w:val="center"/>
            <w:hideMark/>
          </w:tcPr>
          <w:p w14:paraId="6EE85520" w14:textId="77777777" w:rsidR="00BC37D7" w:rsidRPr="00BB18D5" w:rsidRDefault="00BC37D7" w:rsidP="00D40378">
            <w:pPr>
              <w:jc w:val="right"/>
              <w:rPr>
                <w:rFonts w:ascii="Roboto Light" w:hAnsi="Roboto Light" w:cs="Arial"/>
                <w:sz w:val="18"/>
                <w:szCs w:val="18"/>
              </w:rPr>
            </w:pPr>
            <w:r>
              <w:rPr>
                <w:rFonts w:ascii="Roboto Light" w:hAnsi="Roboto Light"/>
                <w:sz w:val="18"/>
              </w:rPr>
              <w:t>(612,947)</w:t>
            </w:r>
          </w:p>
        </w:tc>
        <w:tc>
          <w:tcPr>
            <w:tcW w:w="756" w:type="pct"/>
            <w:tcBorders>
              <w:top w:val="nil"/>
              <w:left w:val="nil"/>
              <w:bottom w:val="nil"/>
              <w:right w:val="nil"/>
            </w:tcBorders>
            <w:noWrap/>
            <w:vAlign w:val="center"/>
            <w:hideMark/>
          </w:tcPr>
          <w:p w14:paraId="6216ABC7" w14:textId="77777777" w:rsidR="00BC37D7" w:rsidRPr="00BB18D5" w:rsidRDefault="00BC37D7" w:rsidP="00D40378">
            <w:pPr>
              <w:jc w:val="right"/>
              <w:rPr>
                <w:rFonts w:ascii="Roboto Light" w:hAnsi="Roboto Light" w:cs="Arial"/>
                <w:sz w:val="18"/>
                <w:szCs w:val="18"/>
              </w:rPr>
            </w:pPr>
            <w:r>
              <w:rPr>
                <w:rFonts w:ascii="Roboto Light" w:hAnsi="Roboto Light"/>
                <w:sz w:val="18"/>
              </w:rPr>
              <w:t>(559,724)</w:t>
            </w:r>
          </w:p>
        </w:tc>
        <w:tc>
          <w:tcPr>
            <w:tcW w:w="367" w:type="pct"/>
            <w:tcBorders>
              <w:top w:val="nil"/>
              <w:left w:val="nil"/>
              <w:bottom w:val="nil"/>
              <w:right w:val="nil"/>
            </w:tcBorders>
            <w:shd w:val="clear" w:color="000000" w:fill="EEECE1"/>
            <w:noWrap/>
            <w:vAlign w:val="center"/>
            <w:hideMark/>
          </w:tcPr>
          <w:p w14:paraId="1AC8D493" w14:textId="77777777" w:rsidR="00BC37D7" w:rsidRPr="00BB18D5" w:rsidRDefault="00BC37D7" w:rsidP="00D40378">
            <w:pPr>
              <w:jc w:val="right"/>
              <w:rPr>
                <w:rFonts w:ascii="Roboto Light" w:hAnsi="Roboto Light" w:cs="Arial"/>
                <w:sz w:val="18"/>
                <w:szCs w:val="18"/>
              </w:rPr>
            </w:pPr>
            <w:r>
              <w:rPr>
                <w:rFonts w:ascii="Roboto Light" w:hAnsi="Roboto Light"/>
                <w:sz w:val="18"/>
              </w:rPr>
              <w:t>9.5</w:t>
            </w:r>
          </w:p>
        </w:tc>
      </w:tr>
      <w:tr w:rsidR="00BC37D7" w:rsidRPr="00BB18D5" w14:paraId="235B1208" w14:textId="77777777" w:rsidTr="00D40378">
        <w:trPr>
          <w:trHeight w:val="240"/>
          <w:jc w:val="center"/>
        </w:trPr>
        <w:tc>
          <w:tcPr>
            <w:tcW w:w="3121" w:type="pct"/>
            <w:tcBorders>
              <w:top w:val="nil"/>
              <w:left w:val="nil"/>
              <w:bottom w:val="nil"/>
              <w:right w:val="nil"/>
            </w:tcBorders>
            <w:vAlign w:val="bottom"/>
            <w:hideMark/>
          </w:tcPr>
          <w:p w14:paraId="1A7A42CC" w14:textId="77777777" w:rsidR="00BC37D7" w:rsidRPr="00BB18D5" w:rsidRDefault="00BC37D7" w:rsidP="00D40378">
            <w:pPr>
              <w:rPr>
                <w:rFonts w:ascii="Roboto Light" w:hAnsi="Roboto Light" w:cs="Arial"/>
                <w:sz w:val="18"/>
                <w:szCs w:val="18"/>
              </w:rPr>
            </w:pPr>
            <w:r>
              <w:rPr>
                <w:rFonts w:ascii="Roboto Light" w:hAnsi="Roboto Light"/>
                <w:sz w:val="18"/>
              </w:rPr>
              <w:t>Investments in financial assets</w:t>
            </w:r>
          </w:p>
        </w:tc>
        <w:tc>
          <w:tcPr>
            <w:tcW w:w="756" w:type="pct"/>
            <w:tcBorders>
              <w:top w:val="nil"/>
              <w:left w:val="nil"/>
              <w:bottom w:val="nil"/>
              <w:right w:val="nil"/>
            </w:tcBorders>
            <w:shd w:val="clear" w:color="000000" w:fill="EEECE1"/>
            <w:noWrap/>
            <w:vAlign w:val="center"/>
            <w:hideMark/>
          </w:tcPr>
          <w:p w14:paraId="5F613CD0" w14:textId="77777777" w:rsidR="00BC37D7" w:rsidRPr="00BB18D5" w:rsidRDefault="00BC37D7" w:rsidP="00D40378">
            <w:pPr>
              <w:jc w:val="right"/>
              <w:rPr>
                <w:rFonts w:ascii="Roboto Light" w:hAnsi="Roboto Light" w:cs="Arial"/>
                <w:sz w:val="18"/>
                <w:szCs w:val="18"/>
              </w:rPr>
            </w:pPr>
            <w:r>
              <w:rPr>
                <w:rFonts w:ascii="Roboto Light" w:hAnsi="Roboto Light"/>
                <w:sz w:val="18"/>
              </w:rPr>
              <w:t>(1,496)</w:t>
            </w:r>
          </w:p>
        </w:tc>
        <w:tc>
          <w:tcPr>
            <w:tcW w:w="756" w:type="pct"/>
            <w:tcBorders>
              <w:top w:val="nil"/>
              <w:left w:val="nil"/>
              <w:bottom w:val="nil"/>
              <w:right w:val="nil"/>
            </w:tcBorders>
            <w:noWrap/>
            <w:vAlign w:val="center"/>
            <w:hideMark/>
          </w:tcPr>
          <w:p w14:paraId="3066D3F3" w14:textId="77777777" w:rsidR="00BC37D7" w:rsidRPr="00BB18D5" w:rsidRDefault="00BC37D7" w:rsidP="00D40378">
            <w:pPr>
              <w:jc w:val="right"/>
              <w:rPr>
                <w:rFonts w:ascii="Roboto Light" w:hAnsi="Roboto Light" w:cs="Arial"/>
                <w:sz w:val="18"/>
                <w:szCs w:val="18"/>
              </w:rPr>
            </w:pPr>
            <w:r>
              <w:rPr>
                <w:rFonts w:ascii="Roboto Light" w:hAnsi="Roboto Light"/>
                <w:sz w:val="18"/>
              </w:rPr>
              <w:t>(87,575)</w:t>
            </w:r>
          </w:p>
        </w:tc>
        <w:tc>
          <w:tcPr>
            <w:tcW w:w="367" w:type="pct"/>
            <w:tcBorders>
              <w:top w:val="nil"/>
              <w:left w:val="nil"/>
              <w:bottom w:val="nil"/>
              <w:right w:val="nil"/>
            </w:tcBorders>
            <w:shd w:val="clear" w:color="000000" w:fill="EEECE1"/>
            <w:noWrap/>
            <w:vAlign w:val="center"/>
            <w:hideMark/>
          </w:tcPr>
          <w:p w14:paraId="73DDE9B1" w14:textId="77777777" w:rsidR="00BC37D7" w:rsidRPr="00BB18D5" w:rsidRDefault="00BC37D7" w:rsidP="00D40378">
            <w:pPr>
              <w:jc w:val="right"/>
              <w:rPr>
                <w:rFonts w:ascii="Roboto Light" w:hAnsi="Roboto Light" w:cs="Arial"/>
                <w:sz w:val="18"/>
                <w:szCs w:val="18"/>
              </w:rPr>
            </w:pPr>
            <w:r>
              <w:rPr>
                <w:rFonts w:ascii="Roboto Light" w:hAnsi="Roboto Light"/>
                <w:sz w:val="18"/>
              </w:rPr>
              <w:t>(98.3)</w:t>
            </w:r>
          </w:p>
        </w:tc>
      </w:tr>
      <w:tr w:rsidR="00BC37D7" w:rsidRPr="00BB18D5" w14:paraId="1AC3A644" w14:textId="77777777" w:rsidTr="00D40378">
        <w:trPr>
          <w:trHeight w:val="240"/>
          <w:jc w:val="center"/>
        </w:trPr>
        <w:tc>
          <w:tcPr>
            <w:tcW w:w="3121" w:type="pct"/>
            <w:tcBorders>
              <w:top w:val="nil"/>
              <w:left w:val="nil"/>
              <w:bottom w:val="nil"/>
              <w:right w:val="nil"/>
            </w:tcBorders>
            <w:vAlign w:val="bottom"/>
            <w:hideMark/>
          </w:tcPr>
          <w:p w14:paraId="77CF7194" w14:textId="77777777" w:rsidR="00BC37D7" w:rsidRPr="00BB18D5" w:rsidRDefault="00BC37D7" w:rsidP="00D40378">
            <w:pPr>
              <w:rPr>
                <w:rFonts w:ascii="Roboto Light" w:hAnsi="Roboto Light" w:cs="Arial"/>
                <w:sz w:val="18"/>
                <w:szCs w:val="18"/>
              </w:rPr>
            </w:pPr>
            <w:r>
              <w:rPr>
                <w:rFonts w:ascii="Roboto Light" w:hAnsi="Roboto Light"/>
                <w:sz w:val="18"/>
              </w:rPr>
              <w:t>Investments and change in assets held for sale</w:t>
            </w:r>
          </w:p>
        </w:tc>
        <w:tc>
          <w:tcPr>
            <w:tcW w:w="756" w:type="pct"/>
            <w:tcBorders>
              <w:top w:val="nil"/>
              <w:left w:val="nil"/>
              <w:bottom w:val="nil"/>
              <w:right w:val="nil"/>
            </w:tcBorders>
            <w:shd w:val="clear" w:color="000000" w:fill="EEECE1"/>
            <w:noWrap/>
            <w:vAlign w:val="center"/>
            <w:hideMark/>
          </w:tcPr>
          <w:p w14:paraId="6C452F34" w14:textId="77777777" w:rsidR="00BC37D7" w:rsidRPr="00BB18D5" w:rsidRDefault="00BC37D7" w:rsidP="00D40378">
            <w:pPr>
              <w:jc w:val="right"/>
              <w:rPr>
                <w:rFonts w:ascii="Roboto Light" w:hAnsi="Roboto Light" w:cs="Arial"/>
                <w:sz w:val="18"/>
                <w:szCs w:val="18"/>
              </w:rPr>
            </w:pPr>
            <w:r>
              <w:rPr>
                <w:rFonts w:ascii="Roboto Light" w:hAnsi="Roboto Light"/>
                <w:sz w:val="18"/>
              </w:rPr>
              <w:t>2,098</w:t>
            </w:r>
          </w:p>
        </w:tc>
        <w:tc>
          <w:tcPr>
            <w:tcW w:w="756" w:type="pct"/>
            <w:tcBorders>
              <w:top w:val="nil"/>
              <w:left w:val="nil"/>
              <w:bottom w:val="nil"/>
              <w:right w:val="nil"/>
            </w:tcBorders>
            <w:noWrap/>
            <w:vAlign w:val="center"/>
            <w:hideMark/>
          </w:tcPr>
          <w:p w14:paraId="3530C238" w14:textId="77777777" w:rsidR="00BC37D7" w:rsidRPr="00BB18D5" w:rsidRDefault="00BC37D7" w:rsidP="00D40378">
            <w:pPr>
              <w:jc w:val="right"/>
              <w:rPr>
                <w:rFonts w:ascii="Roboto Light" w:hAnsi="Roboto Light" w:cs="Arial"/>
                <w:sz w:val="18"/>
                <w:szCs w:val="18"/>
              </w:rPr>
            </w:pPr>
            <w:r>
              <w:rPr>
                <w:rFonts w:ascii="Roboto Light" w:hAnsi="Roboto Light"/>
                <w:sz w:val="18"/>
              </w:rPr>
              <w:t>2,972</w:t>
            </w:r>
          </w:p>
        </w:tc>
        <w:tc>
          <w:tcPr>
            <w:tcW w:w="367" w:type="pct"/>
            <w:tcBorders>
              <w:top w:val="nil"/>
              <w:left w:val="nil"/>
              <w:bottom w:val="nil"/>
              <w:right w:val="nil"/>
            </w:tcBorders>
            <w:shd w:val="clear" w:color="000000" w:fill="EEECE1"/>
            <w:noWrap/>
            <w:vAlign w:val="center"/>
            <w:hideMark/>
          </w:tcPr>
          <w:p w14:paraId="2A97C094" w14:textId="77777777" w:rsidR="00BC37D7" w:rsidRPr="00BB18D5" w:rsidRDefault="00BC37D7" w:rsidP="00D40378">
            <w:pPr>
              <w:jc w:val="right"/>
              <w:rPr>
                <w:rFonts w:ascii="Roboto Light" w:hAnsi="Roboto Light" w:cs="Arial"/>
                <w:sz w:val="18"/>
                <w:szCs w:val="18"/>
              </w:rPr>
            </w:pPr>
            <w:r>
              <w:rPr>
                <w:rFonts w:ascii="Roboto Light" w:hAnsi="Roboto Light"/>
                <w:sz w:val="18"/>
              </w:rPr>
              <w:t>(29.4)</w:t>
            </w:r>
          </w:p>
        </w:tc>
      </w:tr>
      <w:tr w:rsidR="00BC37D7" w:rsidRPr="00BB18D5" w14:paraId="17C94623" w14:textId="77777777" w:rsidTr="00D40378">
        <w:trPr>
          <w:trHeight w:val="480"/>
          <w:jc w:val="center"/>
        </w:trPr>
        <w:tc>
          <w:tcPr>
            <w:tcW w:w="3121" w:type="pct"/>
            <w:tcBorders>
              <w:top w:val="nil"/>
              <w:left w:val="nil"/>
              <w:bottom w:val="nil"/>
              <w:right w:val="nil"/>
            </w:tcBorders>
            <w:vAlign w:val="bottom"/>
            <w:hideMark/>
          </w:tcPr>
          <w:p w14:paraId="5ECE3087" w14:textId="77777777" w:rsidR="00BC37D7" w:rsidRPr="00BB18D5" w:rsidRDefault="00BC37D7" w:rsidP="00D40378">
            <w:pPr>
              <w:rPr>
                <w:rFonts w:ascii="Roboto Light" w:hAnsi="Roboto Light" w:cs="Arial"/>
                <w:sz w:val="18"/>
                <w:szCs w:val="18"/>
              </w:rPr>
            </w:pPr>
            <w:r>
              <w:rPr>
                <w:rFonts w:ascii="Roboto Light" w:hAnsi="Roboto Light"/>
                <w:sz w:val="18"/>
              </w:rPr>
              <w:t>Acquisition (Disposal) of Subsidiaries and Minority Interests</w:t>
            </w:r>
          </w:p>
        </w:tc>
        <w:tc>
          <w:tcPr>
            <w:tcW w:w="756" w:type="pct"/>
            <w:tcBorders>
              <w:top w:val="nil"/>
              <w:left w:val="nil"/>
              <w:bottom w:val="nil"/>
              <w:right w:val="nil"/>
            </w:tcBorders>
            <w:shd w:val="clear" w:color="000000" w:fill="EEECE1"/>
            <w:vAlign w:val="center"/>
            <w:hideMark/>
          </w:tcPr>
          <w:p w14:paraId="2728A33B" w14:textId="77777777" w:rsidR="00BC37D7" w:rsidRPr="00BB18D5" w:rsidRDefault="00BC37D7" w:rsidP="00D40378">
            <w:pPr>
              <w:jc w:val="right"/>
              <w:rPr>
                <w:rFonts w:ascii="Roboto Light" w:hAnsi="Roboto Light" w:cs="Arial"/>
                <w:sz w:val="18"/>
                <w:szCs w:val="18"/>
              </w:rPr>
            </w:pPr>
            <w:r>
              <w:rPr>
                <w:rFonts w:ascii="Roboto Light" w:hAnsi="Roboto Light"/>
                <w:sz w:val="18"/>
              </w:rPr>
              <w:t>(509,937)</w:t>
            </w:r>
          </w:p>
        </w:tc>
        <w:tc>
          <w:tcPr>
            <w:tcW w:w="756" w:type="pct"/>
            <w:tcBorders>
              <w:top w:val="nil"/>
              <w:left w:val="nil"/>
              <w:bottom w:val="nil"/>
              <w:right w:val="nil"/>
            </w:tcBorders>
            <w:vAlign w:val="center"/>
            <w:hideMark/>
          </w:tcPr>
          <w:p w14:paraId="5D0ACF65" w14:textId="77777777" w:rsidR="00BC37D7" w:rsidRPr="00BB18D5" w:rsidRDefault="00BC37D7" w:rsidP="00D40378">
            <w:pPr>
              <w:jc w:val="right"/>
              <w:rPr>
                <w:rFonts w:ascii="Roboto Light" w:hAnsi="Roboto Light" w:cs="Arial"/>
                <w:sz w:val="18"/>
                <w:szCs w:val="18"/>
              </w:rPr>
            </w:pPr>
            <w:r>
              <w:rPr>
                <w:rFonts w:ascii="Roboto Light" w:hAnsi="Roboto Light"/>
                <w:sz w:val="18"/>
              </w:rPr>
              <w:t>(23,479)</w:t>
            </w:r>
          </w:p>
        </w:tc>
        <w:tc>
          <w:tcPr>
            <w:tcW w:w="367" w:type="pct"/>
            <w:tcBorders>
              <w:top w:val="nil"/>
              <w:left w:val="nil"/>
              <w:bottom w:val="nil"/>
              <w:right w:val="nil"/>
            </w:tcBorders>
            <w:shd w:val="clear" w:color="000000" w:fill="EEECE1"/>
            <w:vAlign w:val="center"/>
            <w:hideMark/>
          </w:tcPr>
          <w:p w14:paraId="02C3420B" w14:textId="77777777" w:rsidR="00BC37D7" w:rsidRPr="00BB18D5" w:rsidRDefault="00BC37D7" w:rsidP="00D40378">
            <w:pPr>
              <w:jc w:val="right"/>
              <w:rPr>
                <w:rFonts w:ascii="Roboto Light" w:hAnsi="Roboto Light" w:cs="Arial"/>
                <w:sz w:val="18"/>
                <w:szCs w:val="18"/>
              </w:rPr>
            </w:pPr>
            <w:r>
              <w:rPr>
                <w:rFonts w:ascii="Roboto Light" w:hAnsi="Roboto Light"/>
                <w:sz w:val="18"/>
              </w:rPr>
              <w:t>(*)</w:t>
            </w:r>
          </w:p>
        </w:tc>
      </w:tr>
      <w:tr w:rsidR="00BC37D7" w:rsidRPr="00BB18D5" w14:paraId="4EB2C0ED" w14:textId="77777777" w:rsidTr="00D40378">
        <w:trPr>
          <w:trHeight w:val="240"/>
          <w:jc w:val="center"/>
        </w:trPr>
        <w:tc>
          <w:tcPr>
            <w:tcW w:w="3121" w:type="pct"/>
            <w:tcBorders>
              <w:top w:val="nil"/>
              <w:left w:val="nil"/>
              <w:bottom w:val="nil"/>
              <w:right w:val="nil"/>
            </w:tcBorders>
            <w:vAlign w:val="bottom"/>
            <w:hideMark/>
          </w:tcPr>
          <w:p w14:paraId="1F9471A7" w14:textId="77777777" w:rsidR="00BC37D7" w:rsidRPr="00BB18D5" w:rsidRDefault="00BC37D7" w:rsidP="00D40378">
            <w:pPr>
              <w:rPr>
                <w:rFonts w:ascii="Roboto Light" w:hAnsi="Roboto Light" w:cs="Arial"/>
                <w:sz w:val="18"/>
                <w:szCs w:val="18"/>
              </w:rPr>
            </w:pPr>
            <w:r>
              <w:rPr>
                <w:rFonts w:ascii="Roboto Light" w:hAnsi="Roboto Light"/>
                <w:sz w:val="18"/>
              </w:rPr>
              <w:t>Dividends collected</w:t>
            </w:r>
          </w:p>
        </w:tc>
        <w:tc>
          <w:tcPr>
            <w:tcW w:w="756" w:type="pct"/>
            <w:tcBorders>
              <w:top w:val="nil"/>
              <w:left w:val="nil"/>
              <w:bottom w:val="nil"/>
              <w:right w:val="nil"/>
            </w:tcBorders>
            <w:shd w:val="clear" w:color="000000" w:fill="EEECE1"/>
            <w:noWrap/>
            <w:vAlign w:val="center"/>
            <w:hideMark/>
          </w:tcPr>
          <w:p w14:paraId="1CD8E258" w14:textId="77777777" w:rsidR="00BC37D7" w:rsidRPr="00BB18D5" w:rsidRDefault="00BC37D7" w:rsidP="00D40378">
            <w:pPr>
              <w:jc w:val="right"/>
              <w:rPr>
                <w:rFonts w:ascii="Roboto Light" w:hAnsi="Roboto Light" w:cs="Arial"/>
                <w:sz w:val="18"/>
                <w:szCs w:val="18"/>
              </w:rPr>
            </w:pPr>
            <w:r>
              <w:rPr>
                <w:rFonts w:ascii="Roboto Light" w:hAnsi="Roboto Light"/>
                <w:sz w:val="18"/>
              </w:rPr>
              <w:t>2,137</w:t>
            </w:r>
          </w:p>
        </w:tc>
        <w:tc>
          <w:tcPr>
            <w:tcW w:w="756" w:type="pct"/>
            <w:tcBorders>
              <w:top w:val="nil"/>
              <w:left w:val="nil"/>
              <w:bottom w:val="nil"/>
              <w:right w:val="nil"/>
            </w:tcBorders>
            <w:noWrap/>
            <w:vAlign w:val="center"/>
            <w:hideMark/>
          </w:tcPr>
          <w:p w14:paraId="4770192B" w14:textId="77777777" w:rsidR="00BC37D7" w:rsidRPr="00BB18D5" w:rsidRDefault="00BC37D7" w:rsidP="00D40378">
            <w:pPr>
              <w:jc w:val="right"/>
              <w:rPr>
                <w:rFonts w:ascii="Roboto Light" w:hAnsi="Roboto Light" w:cs="Arial"/>
                <w:sz w:val="18"/>
                <w:szCs w:val="18"/>
              </w:rPr>
            </w:pPr>
            <w:r>
              <w:rPr>
                <w:rFonts w:ascii="Roboto Light" w:hAnsi="Roboto Light"/>
                <w:sz w:val="18"/>
              </w:rPr>
              <w:t>927</w:t>
            </w:r>
          </w:p>
        </w:tc>
        <w:tc>
          <w:tcPr>
            <w:tcW w:w="367" w:type="pct"/>
            <w:tcBorders>
              <w:top w:val="nil"/>
              <w:left w:val="nil"/>
              <w:bottom w:val="nil"/>
              <w:right w:val="nil"/>
            </w:tcBorders>
            <w:shd w:val="clear" w:color="000000" w:fill="EEECE1"/>
            <w:noWrap/>
            <w:vAlign w:val="center"/>
            <w:hideMark/>
          </w:tcPr>
          <w:p w14:paraId="3282603D" w14:textId="77777777" w:rsidR="00BC37D7" w:rsidRPr="00BB18D5" w:rsidRDefault="00BC37D7" w:rsidP="00D40378">
            <w:pPr>
              <w:jc w:val="right"/>
              <w:rPr>
                <w:rFonts w:ascii="Roboto Light" w:hAnsi="Roboto Light" w:cs="Arial"/>
                <w:sz w:val="18"/>
                <w:szCs w:val="18"/>
              </w:rPr>
            </w:pPr>
            <w:r>
              <w:rPr>
                <w:rFonts w:ascii="Roboto Light" w:hAnsi="Roboto Light"/>
                <w:sz w:val="18"/>
              </w:rPr>
              <w:t>(*)</w:t>
            </w:r>
          </w:p>
        </w:tc>
      </w:tr>
      <w:tr w:rsidR="00BC37D7" w:rsidRPr="00BB18D5" w14:paraId="3CFE134E" w14:textId="77777777" w:rsidTr="00D40378">
        <w:trPr>
          <w:trHeight w:val="240"/>
          <w:jc w:val="center"/>
        </w:trPr>
        <w:tc>
          <w:tcPr>
            <w:tcW w:w="3121" w:type="pct"/>
            <w:tcBorders>
              <w:top w:val="single" w:sz="4" w:space="0" w:color="auto"/>
              <w:left w:val="nil"/>
              <w:bottom w:val="single" w:sz="4" w:space="0" w:color="auto"/>
              <w:right w:val="nil"/>
            </w:tcBorders>
            <w:vAlign w:val="bottom"/>
            <w:hideMark/>
          </w:tcPr>
          <w:p w14:paraId="3AA029DA" w14:textId="77777777" w:rsidR="00BC37D7" w:rsidRPr="00BB18D5" w:rsidRDefault="00BC37D7" w:rsidP="00D40378">
            <w:pPr>
              <w:rPr>
                <w:rFonts w:ascii="Roboto Light" w:hAnsi="Roboto Light" w:cs="Arial"/>
                <w:b/>
                <w:bCs/>
                <w:sz w:val="18"/>
                <w:szCs w:val="18"/>
              </w:rPr>
            </w:pPr>
            <w:r>
              <w:rPr>
                <w:rFonts w:ascii="Roboto Light" w:hAnsi="Roboto Light"/>
                <w:b/>
                <w:sz w:val="18"/>
              </w:rPr>
              <w:t>Total cash flows used in investing activities</w:t>
            </w:r>
          </w:p>
        </w:tc>
        <w:tc>
          <w:tcPr>
            <w:tcW w:w="756" w:type="pct"/>
            <w:tcBorders>
              <w:top w:val="single" w:sz="4" w:space="0" w:color="auto"/>
              <w:left w:val="nil"/>
              <w:bottom w:val="single" w:sz="4" w:space="0" w:color="auto"/>
              <w:right w:val="nil"/>
            </w:tcBorders>
            <w:shd w:val="clear" w:color="000000" w:fill="EEECE1"/>
            <w:noWrap/>
            <w:vAlign w:val="center"/>
            <w:hideMark/>
          </w:tcPr>
          <w:p w14:paraId="2D725D4C"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(1,120,145)</w:t>
            </w:r>
          </w:p>
        </w:tc>
        <w:tc>
          <w:tcPr>
            <w:tcW w:w="756" w:type="pct"/>
            <w:tcBorders>
              <w:top w:val="single" w:sz="4" w:space="0" w:color="auto"/>
              <w:left w:val="nil"/>
              <w:bottom w:val="single" w:sz="4" w:space="0" w:color="auto"/>
              <w:right w:val="nil"/>
            </w:tcBorders>
            <w:noWrap/>
            <w:vAlign w:val="center"/>
            <w:hideMark/>
          </w:tcPr>
          <w:p w14:paraId="177202EE"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(666,879)</w:t>
            </w:r>
          </w:p>
        </w:tc>
        <w:tc>
          <w:tcPr>
            <w:tcW w:w="367" w:type="pct"/>
            <w:tcBorders>
              <w:top w:val="single" w:sz="4" w:space="0" w:color="auto"/>
              <w:left w:val="nil"/>
              <w:bottom w:val="single" w:sz="4" w:space="0" w:color="auto"/>
              <w:right w:val="nil"/>
            </w:tcBorders>
            <w:shd w:val="clear" w:color="000000" w:fill="EEECE1"/>
            <w:noWrap/>
            <w:vAlign w:val="center"/>
            <w:hideMark/>
          </w:tcPr>
          <w:p w14:paraId="0BE72188"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68.0</w:t>
            </w:r>
          </w:p>
        </w:tc>
      </w:tr>
      <w:tr w:rsidR="00BC37D7" w:rsidRPr="00BB18D5" w14:paraId="52E77274" w14:textId="77777777" w:rsidTr="00D40378">
        <w:trPr>
          <w:trHeight w:val="240"/>
          <w:jc w:val="center"/>
        </w:trPr>
        <w:tc>
          <w:tcPr>
            <w:tcW w:w="3121" w:type="pct"/>
            <w:tcBorders>
              <w:top w:val="nil"/>
              <w:left w:val="nil"/>
              <w:bottom w:val="single" w:sz="4" w:space="0" w:color="auto"/>
              <w:right w:val="nil"/>
            </w:tcBorders>
            <w:vAlign w:val="bottom"/>
            <w:hideMark/>
          </w:tcPr>
          <w:p w14:paraId="7A377A50" w14:textId="77777777" w:rsidR="00BC37D7" w:rsidRPr="00BB18D5" w:rsidRDefault="00BC37D7" w:rsidP="00D40378">
            <w:pPr>
              <w:rPr>
                <w:rFonts w:ascii="Roboto Light" w:hAnsi="Roboto Light" w:cs="Arial"/>
                <w:b/>
                <w:bCs/>
                <w:sz w:val="18"/>
                <w:szCs w:val="18"/>
              </w:rPr>
            </w:pPr>
            <w:r>
              <w:rPr>
                <w:rFonts w:ascii="Roboto Light" w:hAnsi="Roboto Light"/>
                <w:b/>
                <w:sz w:val="18"/>
              </w:rPr>
              <w:t>Free cash flow</w:t>
            </w:r>
          </w:p>
        </w:tc>
        <w:tc>
          <w:tcPr>
            <w:tcW w:w="756" w:type="pct"/>
            <w:tcBorders>
              <w:top w:val="nil"/>
              <w:left w:val="nil"/>
              <w:bottom w:val="single" w:sz="4" w:space="0" w:color="auto"/>
              <w:right w:val="nil"/>
            </w:tcBorders>
            <w:shd w:val="clear" w:color="000000" w:fill="EEECE1"/>
            <w:noWrap/>
            <w:vAlign w:val="center"/>
            <w:hideMark/>
          </w:tcPr>
          <w:p w14:paraId="3D5C4D3E"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(421,077)</w:t>
            </w:r>
          </w:p>
        </w:tc>
        <w:tc>
          <w:tcPr>
            <w:tcW w:w="756" w:type="pct"/>
            <w:tcBorders>
              <w:top w:val="nil"/>
              <w:left w:val="nil"/>
              <w:bottom w:val="single" w:sz="4" w:space="0" w:color="auto"/>
              <w:right w:val="nil"/>
            </w:tcBorders>
            <w:noWrap/>
            <w:vAlign w:val="center"/>
            <w:hideMark/>
          </w:tcPr>
          <w:p w14:paraId="190C18DF"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89,648</w:t>
            </w:r>
          </w:p>
        </w:tc>
        <w:tc>
          <w:tcPr>
            <w:tcW w:w="367" w:type="pct"/>
            <w:tcBorders>
              <w:top w:val="nil"/>
              <w:left w:val="nil"/>
              <w:bottom w:val="single" w:sz="4" w:space="0" w:color="auto"/>
              <w:right w:val="nil"/>
            </w:tcBorders>
            <w:shd w:val="clear" w:color="000000" w:fill="EEECE1"/>
            <w:noWrap/>
            <w:vAlign w:val="center"/>
            <w:hideMark/>
          </w:tcPr>
          <w:p w14:paraId="0022D239"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w:t>
            </w:r>
          </w:p>
        </w:tc>
      </w:tr>
      <w:tr w:rsidR="00BC37D7" w:rsidRPr="00BB18D5" w14:paraId="1A13A853" w14:textId="77777777" w:rsidTr="00D40378">
        <w:trPr>
          <w:trHeight w:val="240"/>
          <w:jc w:val="center"/>
        </w:trPr>
        <w:tc>
          <w:tcPr>
            <w:tcW w:w="3121" w:type="pct"/>
            <w:tcBorders>
              <w:top w:val="nil"/>
              <w:left w:val="nil"/>
              <w:bottom w:val="nil"/>
              <w:right w:val="nil"/>
            </w:tcBorders>
            <w:vAlign w:val="bottom"/>
            <w:hideMark/>
          </w:tcPr>
          <w:p w14:paraId="141EAA41" w14:textId="77777777" w:rsidR="00BC37D7" w:rsidRPr="00BB18D5" w:rsidRDefault="00BC37D7" w:rsidP="00D40378">
            <w:pPr>
              <w:rPr>
                <w:rFonts w:ascii="Roboto Light" w:hAnsi="Roboto Light" w:cs="Arial"/>
                <w:sz w:val="18"/>
                <w:szCs w:val="18"/>
              </w:rPr>
            </w:pPr>
            <w:r>
              <w:rPr>
                <w:rFonts w:ascii="Roboto Light" w:hAnsi="Roboto Light"/>
                <w:sz w:val="18"/>
              </w:rPr>
              <w:t>Cash flows from own capital</w:t>
            </w:r>
          </w:p>
        </w:tc>
        <w:tc>
          <w:tcPr>
            <w:tcW w:w="756" w:type="pct"/>
            <w:tcBorders>
              <w:top w:val="nil"/>
              <w:left w:val="nil"/>
              <w:bottom w:val="nil"/>
              <w:right w:val="nil"/>
            </w:tcBorders>
            <w:shd w:val="clear" w:color="000000" w:fill="EEECE1"/>
            <w:noWrap/>
            <w:vAlign w:val="center"/>
            <w:hideMark/>
          </w:tcPr>
          <w:p w14:paraId="777646DE" w14:textId="77777777" w:rsidR="00BC37D7" w:rsidRPr="00BB18D5" w:rsidRDefault="00BC37D7" w:rsidP="00D40378">
            <w:pPr>
              <w:jc w:val="right"/>
              <w:rPr>
                <w:rFonts w:ascii="Roboto Light" w:hAnsi="Roboto Light" w:cs="Arial"/>
                <w:sz w:val="18"/>
                <w:szCs w:val="18"/>
              </w:rPr>
            </w:pPr>
            <w:r>
              <w:rPr>
                <w:rFonts w:ascii="Roboto Light" w:hAnsi="Roboto Light"/>
                <w:sz w:val="18"/>
              </w:rPr>
              <w:t>311,498</w:t>
            </w:r>
          </w:p>
        </w:tc>
        <w:tc>
          <w:tcPr>
            <w:tcW w:w="756" w:type="pct"/>
            <w:tcBorders>
              <w:top w:val="nil"/>
              <w:left w:val="nil"/>
              <w:bottom w:val="nil"/>
              <w:right w:val="nil"/>
            </w:tcBorders>
            <w:noWrap/>
            <w:vAlign w:val="center"/>
            <w:hideMark/>
          </w:tcPr>
          <w:p w14:paraId="0F89A8E3" w14:textId="77777777" w:rsidR="00BC37D7" w:rsidRPr="00BB18D5" w:rsidRDefault="00BC37D7" w:rsidP="00D40378">
            <w:pPr>
              <w:jc w:val="right"/>
              <w:rPr>
                <w:rFonts w:ascii="Roboto Light" w:hAnsi="Roboto Light" w:cs="Arial"/>
                <w:sz w:val="18"/>
                <w:szCs w:val="18"/>
              </w:rPr>
            </w:pPr>
            <w:r>
              <w:rPr>
                <w:rFonts w:ascii="Roboto Light" w:hAnsi="Roboto Light"/>
                <w:sz w:val="18"/>
              </w:rPr>
              <w:t>(178,684)</w:t>
            </w:r>
          </w:p>
        </w:tc>
        <w:tc>
          <w:tcPr>
            <w:tcW w:w="367" w:type="pct"/>
            <w:tcBorders>
              <w:top w:val="nil"/>
              <w:left w:val="nil"/>
              <w:bottom w:val="nil"/>
              <w:right w:val="nil"/>
            </w:tcBorders>
            <w:shd w:val="clear" w:color="000000" w:fill="EEECE1"/>
            <w:noWrap/>
            <w:vAlign w:val="center"/>
            <w:hideMark/>
          </w:tcPr>
          <w:p w14:paraId="2F20D838" w14:textId="77777777" w:rsidR="00BC37D7" w:rsidRPr="00BB18D5" w:rsidRDefault="00BC37D7" w:rsidP="00D40378">
            <w:pPr>
              <w:jc w:val="right"/>
              <w:rPr>
                <w:rFonts w:ascii="Roboto Light" w:hAnsi="Roboto Light" w:cs="Arial"/>
                <w:sz w:val="18"/>
                <w:szCs w:val="18"/>
              </w:rPr>
            </w:pPr>
            <w:r>
              <w:rPr>
                <w:rFonts w:ascii="Roboto Light" w:hAnsi="Roboto Light"/>
                <w:sz w:val="18"/>
              </w:rPr>
              <w:t>(*)</w:t>
            </w:r>
          </w:p>
        </w:tc>
      </w:tr>
      <w:tr w:rsidR="00BC37D7" w:rsidRPr="00BB18D5" w14:paraId="6C71C8D3" w14:textId="77777777" w:rsidTr="00D40378">
        <w:trPr>
          <w:trHeight w:val="240"/>
          <w:jc w:val="center"/>
        </w:trPr>
        <w:tc>
          <w:tcPr>
            <w:tcW w:w="3121" w:type="pct"/>
            <w:tcBorders>
              <w:top w:val="nil"/>
              <w:left w:val="nil"/>
              <w:bottom w:val="nil"/>
              <w:right w:val="nil"/>
            </w:tcBorders>
            <w:vAlign w:val="bottom"/>
            <w:hideMark/>
          </w:tcPr>
          <w:p w14:paraId="7F2D32AB" w14:textId="77777777" w:rsidR="00BC37D7" w:rsidRPr="00BB18D5" w:rsidRDefault="00BC37D7" w:rsidP="00D40378">
            <w:pPr>
              <w:rPr>
                <w:rFonts w:ascii="Roboto Light" w:hAnsi="Roboto Light" w:cs="Arial"/>
                <w:sz w:val="18"/>
                <w:szCs w:val="18"/>
              </w:rPr>
            </w:pPr>
            <w:r>
              <w:rPr>
                <w:rFonts w:ascii="Roboto Light" w:hAnsi="Roboto Light"/>
                <w:sz w:val="18"/>
              </w:rPr>
              <w:t>Other changes</w:t>
            </w:r>
          </w:p>
        </w:tc>
        <w:tc>
          <w:tcPr>
            <w:tcW w:w="756" w:type="pct"/>
            <w:tcBorders>
              <w:top w:val="nil"/>
              <w:left w:val="nil"/>
              <w:bottom w:val="nil"/>
              <w:right w:val="nil"/>
            </w:tcBorders>
            <w:shd w:val="clear" w:color="000000" w:fill="EEECE1"/>
            <w:noWrap/>
            <w:vAlign w:val="center"/>
            <w:hideMark/>
          </w:tcPr>
          <w:p w14:paraId="03FDC502" w14:textId="77777777" w:rsidR="00BC37D7" w:rsidRPr="00BB18D5" w:rsidRDefault="00BC37D7" w:rsidP="00D40378">
            <w:pPr>
              <w:jc w:val="right"/>
              <w:rPr>
                <w:rFonts w:ascii="Roboto Light" w:hAnsi="Roboto Light" w:cs="Arial"/>
                <w:sz w:val="18"/>
                <w:szCs w:val="18"/>
              </w:rPr>
            </w:pPr>
            <w:r>
              <w:rPr>
                <w:rFonts w:ascii="Roboto Light" w:hAnsi="Roboto Light"/>
                <w:sz w:val="18"/>
              </w:rPr>
              <w:t>(95,071)</w:t>
            </w:r>
          </w:p>
        </w:tc>
        <w:tc>
          <w:tcPr>
            <w:tcW w:w="756" w:type="pct"/>
            <w:tcBorders>
              <w:top w:val="nil"/>
              <w:left w:val="nil"/>
              <w:bottom w:val="nil"/>
              <w:right w:val="nil"/>
            </w:tcBorders>
            <w:noWrap/>
            <w:vAlign w:val="center"/>
            <w:hideMark/>
          </w:tcPr>
          <w:p w14:paraId="397B8D02" w14:textId="77777777" w:rsidR="00BC37D7" w:rsidRPr="00BB18D5" w:rsidRDefault="00BC37D7" w:rsidP="00D40378">
            <w:pPr>
              <w:jc w:val="right"/>
              <w:rPr>
                <w:rFonts w:ascii="Roboto Light" w:hAnsi="Roboto Light" w:cs="Arial"/>
                <w:sz w:val="18"/>
                <w:szCs w:val="18"/>
              </w:rPr>
            </w:pPr>
            <w:r>
              <w:rPr>
                <w:rFonts w:ascii="Roboto Light" w:hAnsi="Roboto Light"/>
                <w:sz w:val="18"/>
              </w:rPr>
              <w:t>(84,148)</w:t>
            </w:r>
          </w:p>
        </w:tc>
        <w:tc>
          <w:tcPr>
            <w:tcW w:w="367" w:type="pct"/>
            <w:tcBorders>
              <w:top w:val="nil"/>
              <w:left w:val="nil"/>
              <w:bottom w:val="nil"/>
              <w:right w:val="nil"/>
            </w:tcBorders>
            <w:shd w:val="clear" w:color="000000" w:fill="EEECE1"/>
            <w:noWrap/>
            <w:vAlign w:val="center"/>
            <w:hideMark/>
          </w:tcPr>
          <w:p w14:paraId="53DD50CE" w14:textId="77777777" w:rsidR="00BC37D7" w:rsidRPr="00BB18D5" w:rsidRDefault="00BC37D7" w:rsidP="00D40378">
            <w:pPr>
              <w:jc w:val="right"/>
              <w:rPr>
                <w:rFonts w:ascii="Roboto Light" w:hAnsi="Roboto Light" w:cs="Arial"/>
                <w:sz w:val="18"/>
                <w:szCs w:val="18"/>
              </w:rPr>
            </w:pPr>
            <w:r>
              <w:rPr>
                <w:rFonts w:ascii="Roboto Light" w:hAnsi="Roboto Light"/>
                <w:sz w:val="18"/>
              </w:rPr>
              <w:t>13.0</w:t>
            </w:r>
          </w:p>
        </w:tc>
      </w:tr>
      <w:tr w:rsidR="00BC37D7" w:rsidRPr="00BB18D5" w14:paraId="357A0EB8" w14:textId="77777777" w:rsidTr="00D40378">
        <w:trPr>
          <w:trHeight w:val="240"/>
          <w:jc w:val="center"/>
        </w:trPr>
        <w:tc>
          <w:tcPr>
            <w:tcW w:w="3121" w:type="pct"/>
            <w:tcBorders>
              <w:top w:val="single" w:sz="4" w:space="0" w:color="auto"/>
              <w:left w:val="nil"/>
              <w:bottom w:val="single" w:sz="4" w:space="0" w:color="auto"/>
              <w:right w:val="nil"/>
            </w:tcBorders>
            <w:vAlign w:val="bottom"/>
            <w:hideMark/>
          </w:tcPr>
          <w:p w14:paraId="64322642" w14:textId="77777777" w:rsidR="00BC37D7" w:rsidRPr="00BB18D5" w:rsidRDefault="00BC37D7" w:rsidP="00D40378">
            <w:pPr>
              <w:rPr>
                <w:rFonts w:ascii="Roboto Light" w:hAnsi="Roboto Light" w:cs="Arial"/>
                <w:b/>
                <w:bCs/>
                <w:sz w:val="18"/>
                <w:szCs w:val="18"/>
              </w:rPr>
            </w:pPr>
            <w:r>
              <w:rPr>
                <w:rFonts w:ascii="Roboto Light" w:hAnsi="Roboto Light"/>
                <w:b/>
                <w:sz w:val="18"/>
              </w:rPr>
              <w:t>Change in Net financial debt</w:t>
            </w:r>
          </w:p>
        </w:tc>
        <w:tc>
          <w:tcPr>
            <w:tcW w:w="756" w:type="pct"/>
            <w:tcBorders>
              <w:top w:val="single" w:sz="4" w:space="0" w:color="auto"/>
              <w:left w:val="nil"/>
              <w:bottom w:val="single" w:sz="4" w:space="0" w:color="auto"/>
              <w:right w:val="nil"/>
            </w:tcBorders>
            <w:shd w:val="clear" w:color="000000" w:fill="EEECE1"/>
            <w:noWrap/>
            <w:vAlign w:val="center"/>
            <w:hideMark/>
          </w:tcPr>
          <w:p w14:paraId="72F2A97C"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(204,650)</w:t>
            </w:r>
          </w:p>
        </w:tc>
        <w:tc>
          <w:tcPr>
            <w:tcW w:w="756" w:type="pct"/>
            <w:tcBorders>
              <w:top w:val="single" w:sz="4" w:space="0" w:color="auto"/>
              <w:left w:val="nil"/>
              <w:bottom w:val="single" w:sz="4" w:space="0" w:color="auto"/>
              <w:right w:val="nil"/>
            </w:tcBorders>
            <w:noWrap/>
            <w:vAlign w:val="center"/>
            <w:hideMark/>
          </w:tcPr>
          <w:p w14:paraId="625CEF62"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(173,184)</w:t>
            </w:r>
          </w:p>
        </w:tc>
        <w:tc>
          <w:tcPr>
            <w:tcW w:w="367" w:type="pct"/>
            <w:tcBorders>
              <w:top w:val="single" w:sz="4" w:space="0" w:color="auto"/>
              <w:left w:val="nil"/>
              <w:bottom w:val="single" w:sz="4" w:space="0" w:color="auto"/>
              <w:right w:val="nil"/>
            </w:tcBorders>
            <w:shd w:val="clear" w:color="000000" w:fill="EEECE1"/>
            <w:noWrap/>
            <w:vAlign w:val="center"/>
            <w:hideMark/>
          </w:tcPr>
          <w:p w14:paraId="22586DD3"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18.2</w:t>
            </w:r>
          </w:p>
        </w:tc>
      </w:tr>
      <w:tr w:rsidR="00BC37D7" w:rsidRPr="00BB18D5" w14:paraId="6F13031D" w14:textId="77777777" w:rsidTr="00D40378">
        <w:trPr>
          <w:trHeight w:val="240"/>
          <w:jc w:val="center"/>
        </w:trPr>
        <w:tc>
          <w:tcPr>
            <w:tcW w:w="3121" w:type="pct"/>
            <w:tcBorders>
              <w:top w:val="nil"/>
              <w:left w:val="nil"/>
              <w:bottom w:val="single" w:sz="4" w:space="0" w:color="auto"/>
              <w:right w:val="nil"/>
            </w:tcBorders>
            <w:vAlign w:val="bottom"/>
            <w:hideMark/>
          </w:tcPr>
          <w:p w14:paraId="2693853B" w14:textId="77777777" w:rsidR="00BC37D7" w:rsidRPr="00BB18D5" w:rsidRDefault="00BC37D7" w:rsidP="00D40378">
            <w:pPr>
              <w:rPr>
                <w:rFonts w:ascii="Roboto Light" w:hAnsi="Roboto Light" w:cs="Arial"/>
                <w:b/>
                <w:bCs/>
                <w:sz w:val="18"/>
                <w:szCs w:val="18"/>
              </w:rPr>
            </w:pPr>
            <w:r>
              <w:rPr>
                <w:rFonts w:ascii="Roboto Light" w:hAnsi="Roboto Light"/>
                <w:b/>
                <w:sz w:val="18"/>
              </w:rPr>
              <w:t>Closing Net financial (debt)</w:t>
            </w:r>
          </w:p>
        </w:tc>
        <w:tc>
          <w:tcPr>
            <w:tcW w:w="756" w:type="pct"/>
            <w:tcBorders>
              <w:top w:val="nil"/>
              <w:left w:val="nil"/>
              <w:bottom w:val="single" w:sz="4" w:space="0" w:color="auto"/>
              <w:right w:val="nil"/>
            </w:tcBorders>
            <w:shd w:val="clear" w:color="000000" w:fill="EEECE1"/>
            <w:noWrap/>
            <w:vAlign w:val="center"/>
            <w:hideMark/>
          </w:tcPr>
          <w:p w14:paraId="046B00DA"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(4,287,393)</w:t>
            </w:r>
          </w:p>
        </w:tc>
        <w:tc>
          <w:tcPr>
            <w:tcW w:w="756" w:type="pct"/>
            <w:tcBorders>
              <w:top w:val="nil"/>
              <w:left w:val="nil"/>
              <w:bottom w:val="single" w:sz="4" w:space="0" w:color="auto"/>
              <w:right w:val="nil"/>
            </w:tcBorders>
            <w:noWrap/>
            <w:vAlign w:val="center"/>
            <w:hideMark/>
          </w:tcPr>
          <w:p w14:paraId="180C6B90"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(4,107,668)</w:t>
            </w:r>
          </w:p>
        </w:tc>
        <w:tc>
          <w:tcPr>
            <w:tcW w:w="367" w:type="pct"/>
            <w:tcBorders>
              <w:top w:val="nil"/>
              <w:left w:val="nil"/>
              <w:bottom w:val="single" w:sz="4" w:space="0" w:color="auto"/>
              <w:right w:val="nil"/>
            </w:tcBorders>
            <w:shd w:val="clear" w:color="000000" w:fill="EEECE1"/>
            <w:noWrap/>
            <w:vAlign w:val="center"/>
            <w:hideMark/>
          </w:tcPr>
          <w:p w14:paraId="2F8727EA" w14:textId="77777777" w:rsidR="00BC37D7" w:rsidRPr="00BB18D5" w:rsidRDefault="00BC37D7" w:rsidP="00D40378">
            <w:pPr>
              <w:jc w:val="right"/>
              <w:rPr>
                <w:rFonts w:ascii="Roboto Light" w:hAnsi="Roboto Light" w:cs="Arial"/>
                <w:b/>
                <w:bCs/>
                <w:sz w:val="18"/>
                <w:szCs w:val="18"/>
              </w:rPr>
            </w:pPr>
            <w:r>
              <w:rPr>
                <w:rFonts w:ascii="Roboto Light" w:hAnsi="Roboto Light"/>
                <w:b/>
                <w:sz w:val="18"/>
              </w:rPr>
              <w:t>4.4</w:t>
            </w:r>
          </w:p>
        </w:tc>
      </w:tr>
      <w:tr w:rsidR="00BC37D7" w:rsidRPr="00BB18D5" w14:paraId="74B8F407" w14:textId="77777777" w:rsidTr="00D40378">
        <w:trPr>
          <w:trHeight w:val="255"/>
          <w:jc w:val="center"/>
        </w:trPr>
        <w:tc>
          <w:tcPr>
            <w:tcW w:w="3121" w:type="pct"/>
            <w:tcBorders>
              <w:top w:val="nil"/>
              <w:left w:val="nil"/>
              <w:bottom w:val="nil"/>
              <w:right w:val="nil"/>
            </w:tcBorders>
            <w:noWrap/>
            <w:vAlign w:val="bottom"/>
            <w:hideMark/>
          </w:tcPr>
          <w:p w14:paraId="476B57D6" w14:textId="77777777" w:rsidR="00BC37D7" w:rsidRPr="00BB18D5" w:rsidRDefault="00BC37D7" w:rsidP="00D40378">
            <w:pPr>
              <w:rPr>
                <w:rFonts w:ascii="Roboto Light" w:hAnsi="Roboto Light" w:cs="Arial"/>
                <w:sz w:val="16"/>
                <w:szCs w:val="16"/>
              </w:rPr>
            </w:pPr>
            <w:r>
              <w:rPr>
                <w:rFonts w:ascii="Roboto Light" w:hAnsi="Roboto Light"/>
                <w:sz w:val="16"/>
              </w:rPr>
              <w:t>(*) Change of more than 100%</w:t>
            </w:r>
          </w:p>
        </w:tc>
        <w:tc>
          <w:tcPr>
            <w:tcW w:w="756" w:type="pct"/>
            <w:tcBorders>
              <w:top w:val="nil"/>
              <w:left w:val="nil"/>
              <w:bottom w:val="nil"/>
              <w:right w:val="nil"/>
            </w:tcBorders>
            <w:noWrap/>
            <w:vAlign w:val="bottom"/>
            <w:hideMark/>
          </w:tcPr>
          <w:p w14:paraId="7C158095" w14:textId="77777777" w:rsidR="00BC37D7" w:rsidRPr="00BB18D5" w:rsidRDefault="00BC37D7" w:rsidP="00D40378">
            <w:pPr>
              <w:rPr>
                <w:rFonts w:ascii="Roboto Light" w:hAnsi="Roboto Light" w:cs="Arial"/>
                <w:sz w:val="16"/>
                <w:szCs w:val="16"/>
              </w:rPr>
            </w:pPr>
          </w:p>
        </w:tc>
        <w:tc>
          <w:tcPr>
            <w:tcW w:w="756" w:type="pct"/>
            <w:tcBorders>
              <w:top w:val="nil"/>
              <w:left w:val="nil"/>
              <w:bottom w:val="nil"/>
              <w:right w:val="nil"/>
            </w:tcBorders>
            <w:noWrap/>
            <w:vAlign w:val="bottom"/>
            <w:hideMark/>
          </w:tcPr>
          <w:p w14:paraId="5FF2DE25" w14:textId="77777777" w:rsidR="00BC37D7" w:rsidRPr="00BB18D5" w:rsidRDefault="00BC37D7" w:rsidP="00D40378"/>
        </w:tc>
        <w:tc>
          <w:tcPr>
            <w:tcW w:w="367" w:type="pct"/>
            <w:tcBorders>
              <w:top w:val="nil"/>
              <w:left w:val="nil"/>
              <w:bottom w:val="nil"/>
              <w:right w:val="nil"/>
            </w:tcBorders>
            <w:noWrap/>
            <w:vAlign w:val="bottom"/>
            <w:hideMark/>
          </w:tcPr>
          <w:p w14:paraId="034121C3" w14:textId="77777777" w:rsidR="00BC37D7" w:rsidRPr="00BB18D5" w:rsidRDefault="00BC37D7" w:rsidP="00D40378"/>
        </w:tc>
      </w:tr>
    </w:tbl>
    <w:p w14:paraId="118A8740" w14:textId="77777777" w:rsidR="00FE7894" w:rsidRPr="0003068D" w:rsidRDefault="00FE7894" w:rsidP="00FE7894">
      <w:pPr>
        <w:rPr>
          <w:rFonts w:asciiTheme="majorHAnsi" w:eastAsia="Calibri" w:hAnsiTheme="majorHAnsi" w:cstheme="majorHAnsi"/>
          <w:color w:val="EE0000"/>
          <w:sz w:val="22"/>
          <w:szCs w:val="22"/>
          <w:highlight w:val="yellow"/>
        </w:rPr>
      </w:pPr>
    </w:p>
    <w:p w14:paraId="64E8AE97" w14:textId="77777777" w:rsidR="0068025B" w:rsidRPr="005D1478" w:rsidRDefault="0068025B" w:rsidP="0068025B">
      <w:pPr>
        <w:jc w:val="both"/>
        <w:rPr>
          <w:rFonts w:ascii="Roboto Light" w:eastAsia="Calibri" w:hAnsi="Roboto Light" w:cs="Calibri"/>
          <w:sz w:val="16"/>
          <w:szCs w:val="16"/>
        </w:rPr>
      </w:pPr>
      <w:r>
        <w:rPr>
          <w:rFonts w:ascii="Roboto Light" w:hAnsi="Roboto Light"/>
          <w:sz w:val="16"/>
        </w:rPr>
        <w:t xml:space="preserve">The comparative figures for the First Nine Months 2024 have been restated to take into account, at the acquisition date, as required by IFRS 3, the effects of the completion of the allocation of the acquisition price to the definitive fair value of the assets and liabilities acquired (Purchase Price Allocation) of Siena </w:t>
      </w:r>
      <w:proofErr w:type="spellStart"/>
      <w:r>
        <w:rPr>
          <w:rFonts w:ascii="Roboto Light" w:hAnsi="Roboto Light"/>
          <w:sz w:val="16"/>
        </w:rPr>
        <w:t>Ambiente</w:t>
      </w:r>
      <w:proofErr w:type="spellEnd"/>
      <w:r>
        <w:rPr>
          <w:rFonts w:ascii="Roboto Light" w:hAnsi="Roboto Light"/>
          <w:sz w:val="16"/>
        </w:rPr>
        <w:t>.</w:t>
      </w:r>
    </w:p>
    <w:p w14:paraId="59E4CDA2" w14:textId="77777777" w:rsidR="00D03430" w:rsidRPr="0003068D" w:rsidRDefault="00D03430" w:rsidP="00FE7894">
      <w:pPr>
        <w:rPr>
          <w:rFonts w:asciiTheme="majorHAnsi" w:eastAsia="Calibri" w:hAnsiTheme="majorHAnsi" w:cstheme="majorHAnsi"/>
          <w:color w:val="EE0000"/>
          <w:sz w:val="22"/>
          <w:szCs w:val="22"/>
        </w:rPr>
      </w:pPr>
    </w:p>
    <w:p w14:paraId="48AA1BF0" w14:textId="2242C150" w:rsidR="002751B8" w:rsidRPr="0003068D" w:rsidRDefault="002751B8" w:rsidP="004026CD">
      <w:pPr>
        <w:autoSpaceDE w:val="0"/>
        <w:autoSpaceDN w:val="0"/>
        <w:adjustRightInd w:val="0"/>
        <w:jc w:val="both"/>
        <w:rPr>
          <w:rFonts w:asciiTheme="majorHAnsi" w:eastAsiaTheme="minorHAnsi" w:hAnsiTheme="majorHAnsi" w:cstheme="majorHAnsi"/>
          <w:color w:val="EE0000"/>
          <w:sz w:val="22"/>
          <w:szCs w:val="22"/>
          <w:lang w:eastAsia="en-US"/>
        </w:rPr>
      </w:pPr>
    </w:p>
    <w:sectPr w:rsidR="002751B8" w:rsidRPr="0003068D" w:rsidSect="00C503E4">
      <w:headerReference w:type="even" r:id="rId16"/>
      <w:headerReference w:type="default" r:id="rId17"/>
      <w:footerReference w:type="even" r:id="rId18"/>
      <w:footerReference w:type="default" r:id="rId19"/>
      <w:headerReference w:type="first" r:id="rId20"/>
      <w:footerReference w:type="first" r:id="rId21"/>
      <w:footnotePr>
        <w:numFmt w:val="chicago"/>
      </w:footnotePr>
      <w:pgSz w:w="11906" w:h="16838" w:code="9"/>
      <w:pgMar w:top="2127" w:right="1304" w:bottom="1418" w:left="1588" w:header="709"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C2E4F" w14:textId="77777777" w:rsidR="009325D2" w:rsidRDefault="009325D2">
      <w:r>
        <w:separator/>
      </w:r>
    </w:p>
  </w:endnote>
  <w:endnote w:type="continuationSeparator" w:id="0">
    <w:p w14:paraId="46CD4B6C" w14:textId="77777777" w:rsidR="009325D2" w:rsidRDefault="009325D2">
      <w:r>
        <w:continuationSeparator/>
      </w:r>
    </w:p>
  </w:endnote>
  <w:endnote w:type="continuationNotice" w:id="1">
    <w:p w14:paraId="5E224DDC" w14:textId="77777777" w:rsidR="009325D2" w:rsidRDefault="00932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ight">
    <w:altName w:val="Arial"/>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00031" w14:textId="77777777" w:rsidR="00E36786" w:rsidRDefault="00E367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80EC" w14:textId="77777777" w:rsidR="003F6CDC" w:rsidRDefault="003F6CDC" w:rsidP="00350801"/>
  <w:tbl>
    <w:tblPr>
      <w:tblW w:w="9322" w:type="dxa"/>
      <w:tblLook w:val="01E0" w:firstRow="1" w:lastRow="1" w:firstColumn="1" w:lastColumn="1" w:noHBand="0" w:noVBand="0"/>
    </w:tblPr>
    <w:tblGrid>
      <w:gridCol w:w="9525"/>
      <w:gridCol w:w="222"/>
      <w:gridCol w:w="222"/>
    </w:tblGrid>
    <w:tr w:rsidR="003F6CDC" w:rsidRPr="00C17C7D" w14:paraId="560D80FA" w14:textId="77777777" w:rsidTr="0028534B">
      <w:trPr>
        <w:trHeight w:val="1141"/>
      </w:trPr>
      <w:tc>
        <w:tcPr>
          <w:tcW w:w="3025" w:type="dxa"/>
        </w:tcPr>
        <w:tbl>
          <w:tblPr>
            <w:tblW w:w="9309" w:type="dxa"/>
            <w:tblLook w:val="01E0" w:firstRow="1" w:lastRow="1" w:firstColumn="1" w:lastColumn="1" w:noHBand="0" w:noVBand="0"/>
          </w:tblPr>
          <w:tblGrid>
            <w:gridCol w:w="2908"/>
            <w:gridCol w:w="3234"/>
            <w:gridCol w:w="3167"/>
          </w:tblGrid>
          <w:tr w:rsidR="003F6CDC" w:rsidRPr="00C17C7D" w14:paraId="1DF728D1" w14:textId="77777777" w:rsidTr="00462B34">
            <w:trPr>
              <w:trHeight w:val="468"/>
            </w:trPr>
            <w:tc>
              <w:tcPr>
                <w:tcW w:w="3021" w:type="dxa"/>
              </w:tcPr>
              <w:p w14:paraId="5F3926CC" w14:textId="77777777" w:rsidR="003F6CDC" w:rsidRDefault="003F6CDC" w:rsidP="00186782">
                <w:pPr>
                  <w:rPr>
                    <w:rFonts w:ascii="Arial" w:hAnsi="Arial" w:cs="Arial"/>
                    <w:b/>
                    <w:sz w:val="17"/>
                    <w:szCs w:val="17"/>
                  </w:rPr>
                </w:pPr>
              </w:p>
              <w:p w14:paraId="2E924A36" w14:textId="77777777" w:rsidR="003F6CDC" w:rsidRPr="00844481" w:rsidRDefault="003F6CDC" w:rsidP="00186782">
                <w:pPr>
                  <w:rPr>
                    <w:rFonts w:ascii="Arial" w:hAnsi="Arial" w:cs="Arial"/>
                    <w:b/>
                    <w:sz w:val="17"/>
                    <w:szCs w:val="17"/>
                  </w:rPr>
                </w:pPr>
                <w:r>
                  <w:rPr>
                    <w:rFonts w:ascii="Arial" w:hAnsi="Arial"/>
                    <w:b/>
                    <w:sz w:val="17"/>
                  </w:rPr>
                  <w:t>Investor Relations</w:t>
                </w:r>
              </w:p>
              <w:p w14:paraId="3D35B4E3" w14:textId="77777777" w:rsidR="003F6CDC" w:rsidRPr="00844481" w:rsidRDefault="003F6CDC" w:rsidP="00186782">
                <w:pPr>
                  <w:rPr>
                    <w:rFonts w:ascii="Arial" w:hAnsi="Arial" w:cs="Arial"/>
                    <w:sz w:val="17"/>
                    <w:szCs w:val="17"/>
                  </w:rPr>
                </w:pPr>
                <w:r>
                  <w:rPr>
                    <w:rFonts w:ascii="Arial" w:hAnsi="Arial"/>
                    <w:sz w:val="17"/>
                  </w:rPr>
                  <w:t>Giulio Domma</w:t>
                </w:r>
              </w:p>
              <w:p w14:paraId="506935F1" w14:textId="77777777" w:rsidR="003F6CDC" w:rsidRPr="00844481" w:rsidRDefault="003F6CDC" w:rsidP="00186782">
                <w:pPr>
                  <w:rPr>
                    <w:rFonts w:ascii="Arial" w:hAnsi="Arial" w:cs="Arial"/>
                    <w:sz w:val="17"/>
                    <w:szCs w:val="17"/>
                  </w:rPr>
                </w:pPr>
                <w:r>
                  <w:rPr>
                    <w:rFonts w:ascii="Arial" w:hAnsi="Arial"/>
                    <w:sz w:val="17"/>
                  </w:rPr>
                  <w:t>Tel. + 39 0521.248410</w:t>
                </w:r>
              </w:p>
              <w:p w14:paraId="6F473158" w14:textId="77777777" w:rsidR="003F6CDC" w:rsidRPr="00844481" w:rsidRDefault="003F6CDC" w:rsidP="00186782">
                <w:pPr>
                  <w:rPr>
                    <w:rFonts w:ascii="Arial" w:hAnsi="Arial" w:cs="Arial"/>
                    <w:sz w:val="17"/>
                    <w:szCs w:val="17"/>
                  </w:rPr>
                </w:pPr>
                <w:r>
                  <w:rPr>
                    <w:rFonts w:ascii="Arial" w:hAnsi="Arial"/>
                    <w:sz w:val="17"/>
                  </w:rPr>
                  <w:t>investor.relations@gruppoiren.it</w:t>
                </w:r>
              </w:p>
            </w:tc>
            <w:tc>
              <w:tcPr>
                <w:tcW w:w="3488" w:type="dxa"/>
              </w:tcPr>
              <w:p w14:paraId="193CF229" w14:textId="77777777" w:rsidR="003F6CDC" w:rsidRPr="00CD592B" w:rsidRDefault="003F6CDC" w:rsidP="00186782">
                <w:pPr>
                  <w:rPr>
                    <w:rFonts w:ascii="Arial" w:hAnsi="Arial" w:cs="Arial"/>
                    <w:b/>
                    <w:sz w:val="17"/>
                    <w:szCs w:val="17"/>
                    <w:lang w:val="it-IT"/>
                  </w:rPr>
                </w:pPr>
              </w:p>
              <w:p w14:paraId="5222C5AB" w14:textId="77777777" w:rsidR="003F6CDC" w:rsidRPr="00CD592B" w:rsidRDefault="003F6CDC" w:rsidP="00186782">
                <w:pPr>
                  <w:rPr>
                    <w:rFonts w:ascii="Arial" w:hAnsi="Arial" w:cs="Arial"/>
                    <w:b/>
                    <w:sz w:val="17"/>
                    <w:szCs w:val="17"/>
                    <w:lang w:val="it-IT"/>
                  </w:rPr>
                </w:pPr>
                <w:r w:rsidRPr="00CD592B">
                  <w:rPr>
                    <w:rFonts w:ascii="Arial" w:hAnsi="Arial"/>
                    <w:b/>
                    <w:sz w:val="17"/>
                    <w:lang w:val="it-IT"/>
                  </w:rPr>
                  <w:t>Media Relations</w:t>
                </w:r>
              </w:p>
              <w:p w14:paraId="1B06027F" w14:textId="77777777" w:rsidR="003F6CDC" w:rsidRPr="00CD592B" w:rsidRDefault="003F6CDC" w:rsidP="00186782">
                <w:pPr>
                  <w:rPr>
                    <w:rFonts w:ascii="Arial" w:hAnsi="Arial" w:cs="Arial"/>
                    <w:sz w:val="17"/>
                    <w:szCs w:val="17"/>
                    <w:lang w:val="it-IT"/>
                  </w:rPr>
                </w:pPr>
                <w:r w:rsidRPr="00CD592B">
                  <w:rPr>
                    <w:rFonts w:ascii="Arial" w:hAnsi="Arial"/>
                    <w:sz w:val="17"/>
                    <w:lang w:val="it-IT"/>
                  </w:rPr>
                  <w:t>Roberto Bergandi</w:t>
                </w:r>
              </w:p>
              <w:p w14:paraId="509A7FA7" w14:textId="77777777" w:rsidR="003F6CDC" w:rsidRPr="00CD592B" w:rsidRDefault="003F6CDC" w:rsidP="00186782">
                <w:pPr>
                  <w:rPr>
                    <w:rFonts w:ascii="Arial" w:hAnsi="Arial" w:cs="Arial"/>
                    <w:sz w:val="17"/>
                    <w:szCs w:val="17"/>
                    <w:lang w:val="it-IT"/>
                  </w:rPr>
                </w:pPr>
                <w:r w:rsidRPr="00CD592B">
                  <w:rPr>
                    <w:rFonts w:ascii="Arial" w:hAnsi="Arial"/>
                    <w:sz w:val="17"/>
                    <w:lang w:val="it-IT"/>
                  </w:rPr>
                  <w:t xml:space="preserve">Tel. + 39 011 5549911 </w:t>
                </w:r>
              </w:p>
              <w:p w14:paraId="52200860" w14:textId="77777777" w:rsidR="003F6CDC" w:rsidRPr="00CD592B" w:rsidRDefault="003F6CDC" w:rsidP="00186782">
                <w:pPr>
                  <w:rPr>
                    <w:rFonts w:ascii="Arial" w:hAnsi="Arial" w:cs="Arial"/>
                    <w:sz w:val="17"/>
                    <w:szCs w:val="17"/>
                    <w:lang w:val="it-IT"/>
                  </w:rPr>
                </w:pPr>
                <w:r w:rsidRPr="00CD592B">
                  <w:rPr>
                    <w:rFonts w:ascii="Arial" w:hAnsi="Arial"/>
                    <w:sz w:val="17"/>
                    <w:lang w:val="it-IT"/>
                  </w:rPr>
                  <w:t>Mobile + 39 335.6327398 roberto.bergandi@gruppoiren.it</w:t>
                </w:r>
              </w:p>
            </w:tc>
            <w:tc>
              <w:tcPr>
                <w:tcW w:w="2800" w:type="dxa"/>
              </w:tcPr>
              <w:p w14:paraId="31EE3B7E" w14:textId="77777777" w:rsidR="003F6CDC" w:rsidRPr="00CD592B" w:rsidRDefault="003F6CDC" w:rsidP="00186782">
                <w:pPr>
                  <w:ind w:right="-30"/>
                  <w:rPr>
                    <w:rFonts w:ascii="Arial" w:eastAsia="MS Mincho" w:hAnsi="Arial" w:cs="Arial"/>
                    <w:b/>
                    <w:spacing w:val="-6"/>
                    <w:sz w:val="17"/>
                    <w:szCs w:val="17"/>
                    <w:lang w:val="it-IT"/>
                  </w:rPr>
                </w:pPr>
              </w:p>
              <w:p w14:paraId="235CC4AE" w14:textId="77777777" w:rsidR="00AD39F5" w:rsidRPr="00CD592B" w:rsidRDefault="00AD39F5" w:rsidP="00AD39F5">
                <w:pPr>
                  <w:ind w:right="-30"/>
                  <w:rPr>
                    <w:rFonts w:ascii="Arial" w:eastAsia="MS Mincho" w:hAnsi="Arial" w:cs="Arial"/>
                    <w:b/>
                    <w:spacing w:val="-6"/>
                    <w:sz w:val="17"/>
                    <w:szCs w:val="17"/>
                    <w:lang w:val="it-IT"/>
                  </w:rPr>
                </w:pPr>
                <w:r w:rsidRPr="00CD592B">
                  <w:rPr>
                    <w:rFonts w:ascii="Arial" w:hAnsi="Arial"/>
                    <w:b/>
                    <w:sz w:val="17"/>
                    <w:lang w:val="it-IT"/>
                  </w:rPr>
                  <w:t xml:space="preserve">Comin &amp; Partners </w:t>
                </w:r>
              </w:p>
              <w:p w14:paraId="38F2142A" w14:textId="3FA06C25" w:rsidR="00AD39F5" w:rsidRPr="00CD592B" w:rsidRDefault="002611E6" w:rsidP="00AD39F5">
                <w:pPr>
                  <w:ind w:right="-30"/>
                  <w:rPr>
                    <w:rFonts w:ascii="Arial" w:eastAsia="MS Mincho" w:hAnsi="Arial" w:cs="Arial"/>
                    <w:bCs/>
                    <w:spacing w:val="-6"/>
                    <w:sz w:val="17"/>
                    <w:szCs w:val="17"/>
                    <w:lang w:val="it-IT"/>
                  </w:rPr>
                </w:pPr>
                <w:r w:rsidRPr="00CD592B">
                  <w:rPr>
                    <w:rFonts w:ascii="Arial" w:hAnsi="Arial"/>
                    <w:sz w:val="17"/>
                    <w:lang w:val="it-IT"/>
                  </w:rPr>
                  <w:t>Vittoria Tomasi -vittoria.tomasi@cominandpartners.com</w:t>
                </w:r>
              </w:p>
              <w:p w14:paraId="20BAF3E4" w14:textId="08619CDD" w:rsidR="00AD39F5" w:rsidRPr="00CD592B" w:rsidRDefault="002611E6" w:rsidP="00AD39F5">
                <w:pPr>
                  <w:ind w:right="-30"/>
                  <w:rPr>
                    <w:rFonts w:ascii="Arial" w:eastAsia="MS Mincho" w:hAnsi="Arial" w:cs="Arial"/>
                    <w:bCs/>
                    <w:spacing w:val="-6"/>
                    <w:sz w:val="17"/>
                    <w:szCs w:val="17"/>
                    <w:lang w:val="it-IT"/>
                  </w:rPr>
                </w:pPr>
                <w:r w:rsidRPr="00CD592B">
                  <w:rPr>
                    <w:rFonts w:ascii="Arial" w:hAnsi="Arial"/>
                    <w:sz w:val="17"/>
                    <w:lang w:val="it-IT"/>
                  </w:rPr>
                  <w:t>Fausto Fiorin</w:t>
                </w:r>
              </w:p>
              <w:p w14:paraId="46113A52" w14:textId="23CB8076" w:rsidR="003F6CDC" w:rsidRPr="00CD592B" w:rsidRDefault="002611E6" w:rsidP="00AD39F5">
                <w:pPr>
                  <w:ind w:right="-30"/>
                  <w:rPr>
                    <w:rFonts w:ascii="Arial" w:eastAsia="MS Mincho" w:hAnsi="Arial" w:cs="Arial"/>
                    <w:bCs/>
                    <w:spacing w:val="-6"/>
                    <w:sz w:val="17"/>
                    <w:szCs w:val="17"/>
                    <w:lang w:val="it-IT"/>
                  </w:rPr>
                </w:pPr>
                <w:r w:rsidRPr="00CD592B">
                  <w:rPr>
                    <w:rFonts w:ascii="Arial" w:hAnsi="Arial"/>
                    <w:sz w:val="17"/>
                    <w:lang w:val="it-IT"/>
                  </w:rPr>
                  <w:t>fausto.fiorin@cominandpartners.com</w:t>
                </w:r>
              </w:p>
            </w:tc>
          </w:tr>
        </w:tbl>
        <w:p w14:paraId="560D80F1" w14:textId="5692F7CC" w:rsidR="003F6CDC" w:rsidRPr="00CD592B" w:rsidRDefault="003F6CDC" w:rsidP="000619C1">
          <w:pPr>
            <w:rPr>
              <w:rFonts w:ascii="Arial" w:hAnsi="Arial" w:cs="Arial"/>
              <w:sz w:val="17"/>
              <w:szCs w:val="17"/>
              <w:lang w:val="it-IT"/>
            </w:rPr>
          </w:pPr>
        </w:p>
      </w:tc>
      <w:tc>
        <w:tcPr>
          <w:tcW w:w="3493" w:type="dxa"/>
        </w:tcPr>
        <w:p w14:paraId="560D80F6" w14:textId="3513E05C" w:rsidR="003F6CDC" w:rsidRPr="00CD592B" w:rsidRDefault="003F6CDC" w:rsidP="000619C1">
          <w:pPr>
            <w:rPr>
              <w:rFonts w:ascii="Arial" w:hAnsi="Arial" w:cs="Arial"/>
              <w:sz w:val="17"/>
              <w:szCs w:val="17"/>
              <w:lang w:val="it-IT"/>
            </w:rPr>
          </w:pPr>
        </w:p>
      </w:tc>
      <w:tc>
        <w:tcPr>
          <w:tcW w:w="2804" w:type="dxa"/>
        </w:tcPr>
        <w:p w14:paraId="560D80F9" w14:textId="4809A536" w:rsidR="003F6CDC" w:rsidRPr="00CD592B" w:rsidRDefault="003F6CDC" w:rsidP="000619C1">
          <w:pPr>
            <w:ind w:right="-30"/>
            <w:rPr>
              <w:rFonts w:ascii="Arial" w:hAnsi="Arial" w:cs="Arial"/>
              <w:spacing w:val="-6"/>
              <w:sz w:val="17"/>
              <w:szCs w:val="17"/>
              <w:lang w:val="it-IT"/>
            </w:rPr>
          </w:pPr>
        </w:p>
      </w:tc>
    </w:tr>
  </w:tbl>
  <w:p w14:paraId="560D80FB" w14:textId="77777777" w:rsidR="003F6CDC" w:rsidRPr="00CD592B" w:rsidRDefault="003F6CDC" w:rsidP="000619C1">
    <w:pPr>
      <w:pStyle w:val="Pidipagina"/>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09" w:type="dxa"/>
      <w:tblLook w:val="01E0" w:firstRow="1" w:lastRow="1" w:firstColumn="1" w:lastColumn="1" w:noHBand="0" w:noVBand="0"/>
    </w:tblPr>
    <w:tblGrid>
      <w:gridCol w:w="9525"/>
      <w:gridCol w:w="222"/>
      <w:gridCol w:w="222"/>
    </w:tblGrid>
    <w:tr w:rsidR="003F6CDC" w:rsidRPr="00C17C7D" w14:paraId="560D810A" w14:textId="77777777" w:rsidTr="005C69B3">
      <w:trPr>
        <w:trHeight w:val="468"/>
      </w:trPr>
      <w:tc>
        <w:tcPr>
          <w:tcW w:w="3021" w:type="dxa"/>
        </w:tcPr>
        <w:tbl>
          <w:tblPr>
            <w:tblW w:w="9309" w:type="dxa"/>
            <w:tblLook w:val="01E0" w:firstRow="1" w:lastRow="1" w:firstColumn="1" w:lastColumn="1" w:noHBand="0" w:noVBand="0"/>
          </w:tblPr>
          <w:tblGrid>
            <w:gridCol w:w="2908"/>
            <w:gridCol w:w="3234"/>
            <w:gridCol w:w="3167"/>
          </w:tblGrid>
          <w:tr w:rsidR="002611E6" w:rsidRPr="00C17C7D" w14:paraId="03CC8F6D" w14:textId="77777777" w:rsidTr="00462B34">
            <w:trPr>
              <w:trHeight w:val="468"/>
            </w:trPr>
            <w:tc>
              <w:tcPr>
                <w:tcW w:w="3021" w:type="dxa"/>
              </w:tcPr>
              <w:p w14:paraId="57E8B730" w14:textId="77777777" w:rsidR="003F6CDC" w:rsidRDefault="003F6CDC" w:rsidP="00186782">
                <w:pPr>
                  <w:rPr>
                    <w:rFonts w:ascii="Arial" w:hAnsi="Arial" w:cs="Arial"/>
                    <w:b/>
                    <w:sz w:val="17"/>
                    <w:szCs w:val="17"/>
                  </w:rPr>
                </w:pPr>
              </w:p>
              <w:p w14:paraId="15C8A347" w14:textId="77777777" w:rsidR="003F6CDC" w:rsidRPr="00844481" w:rsidRDefault="003F6CDC" w:rsidP="00186782">
                <w:pPr>
                  <w:rPr>
                    <w:rFonts w:ascii="Arial" w:hAnsi="Arial" w:cs="Arial"/>
                    <w:b/>
                    <w:sz w:val="17"/>
                    <w:szCs w:val="17"/>
                  </w:rPr>
                </w:pPr>
                <w:r>
                  <w:rPr>
                    <w:rFonts w:ascii="Arial" w:hAnsi="Arial"/>
                    <w:b/>
                    <w:sz w:val="17"/>
                  </w:rPr>
                  <w:t>Investor Relations</w:t>
                </w:r>
              </w:p>
              <w:p w14:paraId="4D2C916A" w14:textId="77777777" w:rsidR="003F6CDC" w:rsidRPr="00844481" w:rsidRDefault="003F6CDC" w:rsidP="00186782">
                <w:pPr>
                  <w:rPr>
                    <w:rFonts w:ascii="Arial" w:hAnsi="Arial" w:cs="Arial"/>
                    <w:sz w:val="17"/>
                    <w:szCs w:val="17"/>
                  </w:rPr>
                </w:pPr>
                <w:r>
                  <w:rPr>
                    <w:rFonts w:ascii="Arial" w:hAnsi="Arial"/>
                    <w:sz w:val="17"/>
                  </w:rPr>
                  <w:t>Giulio Domma</w:t>
                </w:r>
              </w:p>
              <w:p w14:paraId="41D3794F" w14:textId="77777777" w:rsidR="003F6CDC" w:rsidRPr="00844481" w:rsidRDefault="003F6CDC" w:rsidP="00186782">
                <w:pPr>
                  <w:rPr>
                    <w:rFonts w:ascii="Arial" w:hAnsi="Arial" w:cs="Arial"/>
                    <w:sz w:val="17"/>
                    <w:szCs w:val="17"/>
                  </w:rPr>
                </w:pPr>
                <w:r>
                  <w:rPr>
                    <w:rFonts w:ascii="Arial" w:hAnsi="Arial"/>
                    <w:sz w:val="17"/>
                  </w:rPr>
                  <w:t>Tel. + 39 0521.248410</w:t>
                </w:r>
              </w:p>
              <w:p w14:paraId="68E19175" w14:textId="77777777" w:rsidR="003F6CDC" w:rsidRPr="00844481" w:rsidRDefault="003F6CDC" w:rsidP="00186782">
                <w:pPr>
                  <w:rPr>
                    <w:rFonts w:ascii="Arial" w:hAnsi="Arial" w:cs="Arial"/>
                    <w:sz w:val="17"/>
                    <w:szCs w:val="17"/>
                  </w:rPr>
                </w:pPr>
                <w:r>
                  <w:rPr>
                    <w:rFonts w:ascii="Arial" w:hAnsi="Arial"/>
                    <w:sz w:val="17"/>
                  </w:rPr>
                  <w:t>investor.relations@gruppoiren.it</w:t>
                </w:r>
              </w:p>
            </w:tc>
            <w:tc>
              <w:tcPr>
                <w:tcW w:w="3488" w:type="dxa"/>
              </w:tcPr>
              <w:p w14:paraId="30961377" w14:textId="77777777" w:rsidR="003F6CDC" w:rsidRPr="00CD592B" w:rsidRDefault="003F6CDC" w:rsidP="00186782">
                <w:pPr>
                  <w:rPr>
                    <w:rFonts w:ascii="Arial" w:hAnsi="Arial" w:cs="Arial"/>
                    <w:b/>
                    <w:sz w:val="17"/>
                    <w:szCs w:val="17"/>
                    <w:lang w:val="it-IT"/>
                  </w:rPr>
                </w:pPr>
              </w:p>
              <w:p w14:paraId="08758D88" w14:textId="77777777" w:rsidR="003F6CDC" w:rsidRPr="00CD592B" w:rsidRDefault="003F6CDC" w:rsidP="00186782">
                <w:pPr>
                  <w:rPr>
                    <w:rFonts w:ascii="Arial" w:hAnsi="Arial" w:cs="Arial"/>
                    <w:b/>
                    <w:sz w:val="17"/>
                    <w:szCs w:val="17"/>
                    <w:lang w:val="it-IT"/>
                  </w:rPr>
                </w:pPr>
                <w:r w:rsidRPr="00CD592B">
                  <w:rPr>
                    <w:rFonts w:ascii="Arial" w:hAnsi="Arial"/>
                    <w:b/>
                    <w:sz w:val="17"/>
                    <w:lang w:val="it-IT"/>
                  </w:rPr>
                  <w:t>Media Relations</w:t>
                </w:r>
              </w:p>
              <w:p w14:paraId="20C350F5" w14:textId="77777777" w:rsidR="003F6CDC" w:rsidRPr="00CD592B" w:rsidRDefault="003F6CDC" w:rsidP="00186782">
                <w:pPr>
                  <w:rPr>
                    <w:rFonts w:ascii="Arial" w:hAnsi="Arial" w:cs="Arial"/>
                    <w:sz w:val="17"/>
                    <w:szCs w:val="17"/>
                    <w:lang w:val="it-IT"/>
                  </w:rPr>
                </w:pPr>
                <w:r w:rsidRPr="00CD592B">
                  <w:rPr>
                    <w:rFonts w:ascii="Arial" w:hAnsi="Arial"/>
                    <w:sz w:val="17"/>
                    <w:lang w:val="it-IT"/>
                  </w:rPr>
                  <w:t>Roberto Bergandi</w:t>
                </w:r>
              </w:p>
              <w:p w14:paraId="0005837A" w14:textId="77777777" w:rsidR="003F6CDC" w:rsidRPr="00CD592B" w:rsidRDefault="003F6CDC" w:rsidP="00186782">
                <w:pPr>
                  <w:rPr>
                    <w:rFonts w:ascii="Arial" w:hAnsi="Arial" w:cs="Arial"/>
                    <w:sz w:val="17"/>
                    <w:szCs w:val="17"/>
                    <w:lang w:val="it-IT"/>
                  </w:rPr>
                </w:pPr>
                <w:r w:rsidRPr="00CD592B">
                  <w:rPr>
                    <w:rFonts w:ascii="Arial" w:hAnsi="Arial"/>
                    <w:sz w:val="17"/>
                    <w:lang w:val="it-IT"/>
                  </w:rPr>
                  <w:t xml:space="preserve">Tel. + 39 011 5549911 </w:t>
                </w:r>
              </w:p>
              <w:p w14:paraId="6E9182D5" w14:textId="77777777" w:rsidR="003F6CDC" w:rsidRPr="00CD592B" w:rsidRDefault="003F6CDC" w:rsidP="00186782">
                <w:pPr>
                  <w:rPr>
                    <w:rFonts w:ascii="Arial" w:hAnsi="Arial" w:cs="Arial"/>
                    <w:sz w:val="17"/>
                    <w:szCs w:val="17"/>
                    <w:lang w:val="it-IT"/>
                  </w:rPr>
                </w:pPr>
                <w:r w:rsidRPr="00CD592B">
                  <w:rPr>
                    <w:rFonts w:ascii="Arial" w:hAnsi="Arial"/>
                    <w:sz w:val="17"/>
                    <w:lang w:val="it-IT"/>
                  </w:rPr>
                  <w:t>Mobile + 39 335.6327398 roberto.bergandi@gruppoiren.it</w:t>
                </w:r>
              </w:p>
            </w:tc>
            <w:tc>
              <w:tcPr>
                <w:tcW w:w="2800" w:type="dxa"/>
              </w:tcPr>
              <w:p w14:paraId="5F552954" w14:textId="77777777" w:rsidR="003F6CDC" w:rsidRPr="00CD592B" w:rsidRDefault="003F6CDC" w:rsidP="00186782">
                <w:pPr>
                  <w:ind w:right="-30"/>
                  <w:rPr>
                    <w:rFonts w:ascii="Arial" w:eastAsia="MS Mincho" w:hAnsi="Arial" w:cs="Arial"/>
                    <w:b/>
                    <w:spacing w:val="-6"/>
                    <w:sz w:val="17"/>
                    <w:szCs w:val="17"/>
                    <w:lang w:val="it-IT"/>
                  </w:rPr>
                </w:pPr>
              </w:p>
              <w:p w14:paraId="7436EAE1" w14:textId="77777777" w:rsidR="002B5E01" w:rsidRPr="00CD592B" w:rsidRDefault="002B5E01" w:rsidP="002B5E01">
                <w:pPr>
                  <w:ind w:right="-30"/>
                  <w:rPr>
                    <w:rFonts w:ascii="Arial" w:eastAsia="MS Mincho" w:hAnsi="Arial" w:cs="Arial"/>
                    <w:b/>
                    <w:spacing w:val="-6"/>
                    <w:sz w:val="17"/>
                    <w:szCs w:val="17"/>
                    <w:lang w:val="it-IT"/>
                  </w:rPr>
                </w:pPr>
                <w:r w:rsidRPr="00CD592B">
                  <w:rPr>
                    <w:rFonts w:ascii="Arial" w:hAnsi="Arial"/>
                    <w:b/>
                    <w:sz w:val="17"/>
                    <w:lang w:val="it-IT"/>
                  </w:rPr>
                  <w:t xml:space="preserve">Comin &amp; Partners </w:t>
                </w:r>
              </w:p>
              <w:p w14:paraId="04817035" w14:textId="787FE78D" w:rsidR="002611E6" w:rsidRPr="00CD592B" w:rsidRDefault="002611E6" w:rsidP="002B5E01">
                <w:pPr>
                  <w:ind w:right="-30"/>
                  <w:rPr>
                    <w:rFonts w:ascii="Arial" w:eastAsia="MS Mincho" w:hAnsi="Arial" w:cs="Arial"/>
                    <w:bCs/>
                    <w:spacing w:val="-6"/>
                    <w:sz w:val="17"/>
                    <w:szCs w:val="17"/>
                    <w:lang w:val="it-IT"/>
                  </w:rPr>
                </w:pPr>
                <w:r w:rsidRPr="00CD592B">
                  <w:rPr>
                    <w:rFonts w:ascii="Arial" w:hAnsi="Arial"/>
                    <w:sz w:val="17"/>
                    <w:lang w:val="it-IT"/>
                  </w:rPr>
                  <w:t>Vittoria Tomasi</w:t>
                </w:r>
              </w:p>
              <w:p w14:paraId="79DDADF3" w14:textId="5DE30EF9" w:rsidR="002B5E01" w:rsidRPr="00CD592B" w:rsidRDefault="002611E6" w:rsidP="002B5E01">
                <w:pPr>
                  <w:ind w:right="-30"/>
                  <w:rPr>
                    <w:rFonts w:ascii="Arial" w:eastAsia="MS Mincho" w:hAnsi="Arial" w:cs="Arial"/>
                    <w:bCs/>
                    <w:spacing w:val="-6"/>
                    <w:sz w:val="17"/>
                    <w:szCs w:val="17"/>
                    <w:lang w:val="it-IT"/>
                  </w:rPr>
                </w:pPr>
                <w:r w:rsidRPr="00CD592B">
                  <w:rPr>
                    <w:rFonts w:ascii="Arial" w:hAnsi="Arial"/>
                    <w:sz w:val="17"/>
                    <w:lang w:val="it-IT"/>
                  </w:rPr>
                  <w:t>vittoria.tomasi@cominandpartners.com</w:t>
                </w:r>
              </w:p>
              <w:p w14:paraId="79672498" w14:textId="52C99281" w:rsidR="0039143A" w:rsidRPr="00CD592B" w:rsidRDefault="002611E6" w:rsidP="0039143A">
                <w:pPr>
                  <w:ind w:right="-30"/>
                  <w:rPr>
                    <w:rFonts w:ascii="Arial" w:eastAsia="MS Mincho" w:hAnsi="Arial" w:cs="Arial"/>
                    <w:bCs/>
                    <w:spacing w:val="-6"/>
                    <w:sz w:val="17"/>
                    <w:szCs w:val="17"/>
                    <w:lang w:val="it-IT"/>
                  </w:rPr>
                </w:pPr>
                <w:r w:rsidRPr="00CD592B">
                  <w:rPr>
                    <w:rFonts w:ascii="Arial" w:hAnsi="Arial"/>
                    <w:sz w:val="17"/>
                    <w:lang w:val="it-IT"/>
                  </w:rPr>
                  <w:t>Fausto Fiorin</w:t>
                </w:r>
              </w:p>
              <w:p w14:paraId="0B6D8679" w14:textId="2E4E3A29" w:rsidR="0039143A" w:rsidRPr="00CD592B" w:rsidRDefault="002611E6" w:rsidP="0039143A">
                <w:pPr>
                  <w:ind w:right="-30"/>
                  <w:rPr>
                    <w:rFonts w:ascii="Arial" w:eastAsia="MS Mincho" w:hAnsi="Arial" w:cs="Arial"/>
                    <w:bCs/>
                    <w:spacing w:val="-6"/>
                    <w:sz w:val="17"/>
                    <w:szCs w:val="17"/>
                    <w:lang w:val="it-IT"/>
                  </w:rPr>
                </w:pPr>
                <w:r w:rsidRPr="00CD592B">
                  <w:rPr>
                    <w:rFonts w:ascii="Arial" w:hAnsi="Arial"/>
                    <w:sz w:val="17"/>
                    <w:lang w:val="it-IT"/>
                  </w:rPr>
                  <w:t>fausto.fiorin@cominandpartners.com</w:t>
                </w:r>
              </w:p>
            </w:tc>
          </w:tr>
        </w:tbl>
        <w:p w14:paraId="560D8101" w14:textId="13FC7A33" w:rsidR="003F6CDC" w:rsidRPr="00CD592B" w:rsidRDefault="003F6CDC" w:rsidP="00350801">
          <w:pPr>
            <w:rPr>
              <w:rFonts w:ascii="Arial" w:hAnsi="Arial" w:cs="Arial"/>
              <w:sz w:val="17"/>
              <w:szCs w:val="17"/>
              <w:lang w:val="it-IT"/>
            </w:rPr>
          </w:pPr>
        </w:p>
      </w:tc>
      <w:tc>
        <w:tcPr>
          <w:tcW w:w="3488" w:type="dxa"/>
        </w:tcPr>
        <w:p w14:paraId="560D8106" w14:textId="316F4024" w:rsidR="003F6CDC" w:rsidRPr="00CD592B" w:rsidRDefault="003F6CDC" w:rsidP="00350801">
          <w:pPr>
            <w:rPr>
              <w:rFonts w:ascii="Arial" w:hAnsi="Arial" w:cs="Arial"/>
              <w:sz w:val="17"/>
              <w:szCs w:val="17"/>
              <w:lang w:val="it-IT"/>
            </w:rPr>
          </w:pPr>
        </w:p>
      </w:tc>
      <w:tc>
        <w:tcPr>
          <w:tcW w:w="2800" w:type="dxa"/>
        </w:tcPr>
        <w:p w14:paraId="560D8109" w14:textId="10B2ABA3" w:rsidR="003F6CDC" w:rsidRPr="00CD592B" w:rsidRDefault="003F6CDC" w:rsidP="00350801">
          <w:pPr>
            <w:ind w:right="-30"/>
            <w:rPr>
              <w:rFonts w:ascii="Arial" w:hAnsi="Arial" w:cs="Arial"/>
              <w:spacing w:val="-6"/>
              <w:sz w:val="17"/>
              <w:szCs w:val="17"/>
              <w:lang w:val="it-IT"/>
            </w:rPr>
          </w:pPr>
        </w:p>
      </w:tc>
    </w:tr>
  </w:tbl>
  <w:p w14:paraId="560D810B" w14:textId="77777777" w:rsidR="003F6CDC" w:rsidRPr="00CD592B" w:rsidRDefault="003F6CDC" w:rsidP="005C69B3">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7D150" w14:textId="77777777" w:rsidR="009325D2" w:rsidRDefault="009325D2">
      <w:r>
        <w:separator/>
      </w:r>
    </w:p>
  </w:footnote>
  <w:footnote w:type="continuationSeparator" w:id="0">
    <w:p w14:paraId="504FDFE1" w14:textId="77777777" w:rsidR="009325D2" w:rsidRDefault="009325D2">
      <w:r>
        <w:continuationSeparator/>
      </w:r>
    </w:p>
  </w:footnote>
  <w:footnote w:type="continuationNotice" w:id="1">
    <w:p w14:paraId="4F3CBD49" w14:textId="77777777" w:rsidR="009325D2" w:rsidRDefault="009325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0C6B" w14:textId="77777777" w:rsidR="00E36786" w:rsidRDefault="00E367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80EB" w14:textId="05D637E4" w:rsidR="003F6CDC" w:rsidRPr="000027FF" w:rsidRDefault="003F6CDC">
    <w:pPr>
      <w:pStyle w:val="Intestazione"/>
      <w:rPr>
        <w:u w:val="single"/>
      </w:rPr>
    </w:pPr>
    <w:r>
      <w:rPr>
        <w:noProof/>
      </w:rPr>
      <w:drawing>
        <wp:anchor distT="0" distB="0" distL="114300" distR="114300" simplePos="0" relativeHeight="251658244" behindDoc="1" locked="0" layoutInCell="1" allowOverlap="1" wp14:anchorId="2F53FA7B" wp14:editId="688DBBA1">
          <wp:simplePos x="0" y="0"/>
          <wp:positionH relativeFrom="column">
            <wp:posOffset>1270</wp:posOffset>
          </wp:positionH>
          <wp:positionV relativeFrom="paragraph">
            <wp:posOffset>-154305</wp:posOffset>
          </wp:positionV>
          <wp:extent cx="1632585" cy="783590"/>
          <wp:effectExtent l="0" t="0" r="5715" b="0"/>
          <wp:wrapNone/>
          <wp:docPr id="13" name="Picture 13" descr="C:\Users\u12546\AppData\Local\Microsoft\Windows\INetCache\Content.Word\iren_log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12546\AppData\Local\Microsoft\Windows\INetCache\Content.Word\iren_logo-2020.jpg"/>
                  <pic:cNvPicPr>
                    <a:picLocks noChangeAspect="1" noChangeArrowheads="1"/>
                  </pic:cNvPicPr>
                </pic:nvPicPr>
                <pic:blipFill>
                  <a:blip r:embed="rId1" cstate="print">
                    <a:extLst>
                      <a:ext uri="{28A0092B-C50C-407E-A947-70E740481C1C}">
                        <a14:useLocalDpi xmlns:a14="http://schemas.microsoft.com/office/drawing/2010/main" val="0"/>
                      </a:ext>
                    </a:extLst>
                  </a:blip>
                  <a:srcRect t="15527" b="15527"/>
                  <a:stretch>
                    <a:fillRect/>
                  </a:stretch>
                </pic:blipFill>
                <pic:spPr bwMode="auto">
                  <a:xfrm>
                    <a:off x="0" y="0"/>
                    <a:ext cx="1632585" cy="783590"/>
                  </a:xfrm>
                  <a:prstGeom prst="rect">
                    <a:avLst/>
                  </a:prstGeom>
                  <a:noFill/>
                  <a:ln>
                    <a:noFill/>
                  </a:ln>
                </pic:spPr>
              </pic:pic>
            </a:graphicData>
          </a:graphic>
        </wp:anchor>
      </w:drawing>
    </w:r>
    <w:r>
      <w:rPr>
        <w:noProof/>
      </w:rPr>
      <mc:AlternateContent>
        <mc:Choice Requires="wps">
          <w:drawing>
            <wp:anchor distT="0" distB="0" distL="114300" distR="114300" simplePos="0" relativeHeight="251658243" behindDoc="0" locked="0" layoutInCell="0" allowOverlap="1" wp14:anchorId="560D810C" wp14:editId="560D810D">
              <wp:simplePos x="0" y="0"/>
              <wp:positionH relativeFrom="page">
                <wp:posOffset>6851650</wp:posOffset>
              </wp:positionH>
              <wp:positionV relativeFrom="page">
                <wp:posOffset>1610995</wp:posOffset>
              </wp:positionV>
              <wp:extent cx="477520" cy="477520"/>
              <wp:effectExtent l="0" t="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0D8118" w14:textId="2C23A2F7" w:rsidR="003F6CDC" w:rsidRPr="00433861" w:rsidRDefault="003F6CDC" w:rsidP="00433861">
                          <w:pPr>
                            <w:jc w:val="center"/>
                            <w:rPr>
                              <w:rStyle w:val="Numeropagina"/>
                              <w:color w:val="FFFFFF"/>
                            </w:rPr>
                          </w:pPr>
                          <w:r w:rsidRPr="00433861">
                            <w:rPr>
                              <w:sz w:val="22"/>
                            </w:rPr>
                            <w:fldChar w:fldCharType="begin"/>
                          </w:r>
                          <w:r>
                            <w:instrText>PAGE    \* MERGEFORMAT</w:instrText>
                          </w:r>
                          <w:r w:rsidRPr="00433861">
                            <w:rPr>
                              <w:sz w:val="22"/>
                            </w:rPr>
                            <w:fldChar w:fldCharType="separate"/>
                          </w:r>
                          <w:r w:rsidRPr="00DC0124">
                            <w:rPr>
                              <w:rStyle w:val="Numeropagina"/>
                              <w:b/>
                              <w:color w:val="FFFFFF"/>
                            </w:rPr>
                            <w:t>9</w:t>
                          </w:r>
                          <w:r w:rsidRPr="00433861">
                            <w:rPr>
                              <w:rStyle w:val="Numeropagina"/>
                              <w:b/>
                              <w:color w:val="FFFFFF"/>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D810C" id="Oval 6" o:spid="_x0000_s1026" style="position:absolute;margin-left:539.5pt;margin-top:126.85pt;width:37.6pt;height:37.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" o:allowincell="f" fillcolor="#7f7f7f" stroked="f">
              <v:textbox inset="0,,0">
                <w:txbxContent>
                  <w:p w14:paraId="560D8118" w14:textId="2C23A2F7" w:rsidR="003F6CDC" w:rsidRPr="00433861" w:rsidRDefault="003F6CDC" w:rsidP="00433861">
                    <w:pPr>
                      <w:jc w:val="center"/>
                      <w:rPr>
                        <w:rStyle w:val="Numeropagina"/>
                        <w:color w:val="FFFFFF"/>
                      </w:rPr>
                    </w:pPr>
                    <w:r w:rsidRPr="00433861">
                      <w:rPr>
                        <w:sz w:val="22"/>
                      </w:rPr>
                      <w:fldChar w:fldCharType="begin"/>
                    </w:r>
                    <w:r>
                      <w:instrText>PAGE    \* MERGEFORMAT</w:instrText>
                    </w:r>
                    <w:r w:rsidRPr="00433861">
                      <w:rPr>
                        <w:sz w:val="22"/>
                      </w:rPr>
                      <w:fldChar w:fldCharType="separate"/>
                    </w:r>
                    <w:r w:rsidRPr="00DC0124">
                      <w:rPr>
                        <w:rStyle w:val="Numeropagina"/>
                        <w:b/>
                        <w:color w:val="FFFFFF"/>
                      </w:rPr>
                      <w:t>9</w:t>
                    </w:r>
                    <w:r w:rsidRPr="00433861">
                      <w:rPr>
                        <w:rStyle w:val="Numeropagina"/>
                        <w:b/>
                        <w:color w:val="FFFFFF"/>
                      </w:rPr>
                      <w:fldChar w:fldCharType="end"/>
                    </w:r>
                  </w:p>
                </w:txbxContent>
              </v:textbox>
              <w10:wrap anchorx="page" anchory="page"/>
            </v:oval>
          </w:pict>
        </mc:Fallback>
      </mc:AlternateContent>
    </w:r>
    <w:r>
      <w:rPr>
        <w:noProof/>
      </w:rPr>
      <mc:AlternateContent>
        <mc:Choice Requires="wps">
          <w:drawing>
            <wp:anchor distT="45720" distB="45720" distL="114300" distR="114300" simplePos="0" relativeHeight="251658241" behindDoc="0" locked="0" layoutInCell="1" allowOverlap="1" wp14:anchorId="560D810E" wp14:editId="062AE49F">
              <wp:simplePos x="0" y="0"/>
              <wp:positionH relativeFrom="column">
                <wp:posOffset>1788795</wp:posOffset>
              </wp:positionH>
              <wp:positionV relativeFrom="paragraph">
                <wp:posOffset>197485</wp:posOffset>
              </wp:positionV>
              <wp:extent cx="3979545" cy="431800"/>
              <wp:effectExtent l="0" t="0" r="0" b="63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8119" w14:textId="77777777" w:rsidR="003F6CDC" w:rsidRPr="00BB1EEB" w:rsidRDefault="003F6CDC" w:rsidP="00BB1EEB">
                          <w:pPr>
                            <w:pBdr>
                              <w:bottom w:val="single" w:sz="4" w:space="1" w:color="808080"/>
                            </w:pBdr>
                            <w:rPr>
                              <w:rFonts w:ascii="Arial" w:hAnsi="Arial" w:cs="Arial"/>
                              <w:color w:val="808080"/>
                              <w:sz w:val="44"/>
                              <w:szCs w:val="44"/>
                            </w:rPr>
                          </w:pPr>
                          <w:r>
                            <w:rPr>
                              <w:rFonts w:ascii="Arial" w:hAnsi="Arial"/>
                              <w:color w:val="808080"/>
                              <w:sz w:val="44"/>
                            </w:rPr>
                            <w:t>PRESS RELEASE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0D810E" id="_x0000_t202" coordsize="21600,21600" o:spt="202" path="m,l,21600r21600,l21600,xe">
              <v:stroke joinstyle="miter"/>
              <v:path gradientshapeok="t" o:connecttype="rect"/>
            </v:shapetype>
            <v:shape id="Text Box 5" o:spid="_x0000_s1027" type="#_x0000_t202" style="position:absolute;margin-left:140.85pt;margin-top:15.55pt;width:313.35pt;height:34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" filled="f" stroked="f">
              <v:textbox style="mso-fit-shape-to-text:t">
                <w:txbxContent>
                  <w:p w14:paraId="560D8119" w14:textId="77777777" w:rsidR="003F6CDC" w:rsidRPr="00BB1EEB" w:rsidRDefault="003F6CDC" w:rsidP="00BB1EEB">
                    <w:pPr>
                      <w:pBdr>
                        <w:bottom w:val="single" w:sz="4" w:space="1" w:color="808080"/>
                      </w:pBdr>
                      <w:rPr>
                        <w:rFonts w:ascii="Arial" w:hAnsi="Arial" w:cs="Arial"/>
                        <w:color w:val="808080"/>
                        <w:sz w:val="44"/>
                        <w:szCs w:val="44"/>
                      </w:rPr>
                    </w:pPr>
                    <w:r>
                      <w:rPr>
                        <w:rFonts w:ascii="Arial" w:hAnsi="Arial"/>
                        <w:color w:val="808080"/>
                        <w:sz w:val="44"/>
                      </w:rPr>
                      <w:t>PRESS RELEASE</w:t>
                    </w:r>
                  </w:p>
                </w:txbxContent>
              </v:textbox>
              <w10:wrap type="square"/>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80FC" w14:textId="3E4DE8F0" w:rsidR="003F6CDC" w:rsidRDefault="003F6CDC">
    <w:pPr>
      <w:pStyle w:val="Intestazione"/>
    </w:pPr>
    <w:r>
      <w:rPr>
        <w:noProof/>
      </w:rPr>
      <mc:AlternateContent>
        <mc:Choice Requires="wps">
          <w:drawing>
            <wp:anchor distT="0" distB="0" distL="114300" distR="114300" simplePos="0" relativeHeight="251658242" behindDoc="0" locked="0" layoutInCell="0" allowOverlap="1" wp14:anchorId="560D8112" wp14:editId="560D8113">
              <wp:simplePos x="0" y="0"/>
              <wp:positionH relativeFrom="page">
                <wp:posOffset>6941185</wp:posOffset>
              </wp:positionH>
              <wp:positionV relativeFrom="page">
                <wp:posOffset>1592580</wp:posOffset>
              </wp:positionV>
              <wp:extent cx="477520" cy="477520"/>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A5A5A5"/>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14:paraId="560D811A" w14:textId="5FBDA9CF" w:rsidR="003F6CDC" w:rsidRPr="00433861" w:rsidRDefault="003F6CDC" w:rsidP="00433861">
                          <w:pPr>
                            <w:jc w:val="center"/>
                            <w:rPr>
                              <w:rStyle w:val="Numeropagina"/>
                              <w:rFonts w:ascii="Arial" w:hAnsi="Arial" w:cs="Arial"/>
                              <w:color w:val="FFFFFF"/>
                              <w:sz w:val="40"/>
                              <w:szCs w:val="40"/>
                            </w:rPr>
                          </w:pPr>
                          <w:r w:rsidRPr="00433861">
                            <w:fldChar w:fldCharType="begin"/>
                          </w:r>
                          <w:r w:rsidRPr="00433861">
                            <w:rPr>
                              <w:rFonts w:ascii="Arial" w:hAnsi="Arial" w:cs="Arial"/>
                              <w:sz w:val="40"/>
                            </w:rPr>
                            <w:instrText>PAGE    \* MERGEFORMAT</w:instrText>
                          </w:r>
                          <w:r w:rsidRPr="00433861">
                            <w:fldChar w:fldCharType="separate"/>
                          </w:r>
                          <w:r w:rsidRPr="00DC0124">
                            <w:rPr>
                              <w:rStyle w:val="Numeropagina"/>
                              <w:b/>
                              <w:color w:val="FFFFFF"/>
                            </w:rPr>
                            <w:t>1</w:t>
                          </w:r>
                          <w:r w:rsidRPr="00433861">
                            <w:rPr>
                              <w:rStyle w:val="Numeropagina"/>
                              <w:rFonts w:ascii="Arial" w:hAnsi="Arial" w:cs="Arial"/>
                              <w:b/>
                              <w:color w:val="FFFFFF"/>
                              <w:sz w:val="40"/>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D8112" id="Oval 3" o:spid="_x0000_s1028" style="position:absolute;margin-left:546.55pt;margin-top:125.4pt;width:37.6pt;height:37.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" o:allowincell="f" fillcolor="#a5a5a5" stroked="f" strokecolor="#f2f2f2" strokeweight="3pt">
              <v:shadow color="#525252" opacity=".5" offset="1pt"/>
              <v:textbox inset="0,,0">
                <w:txbxContent>
                  <w:p w14:paraId="560D811A" w14:textId="5FBDA9CF" w:rsidR="003F6CDC" w:rsidRPr="00433861" w:rsidRDefault="003F6CDC" w:rsidP="00433861">
                    <w:pPr>
                      <w:jc w:val="center"/>
                      <w:rPr>
                        <w:rStyle w:val="Numeropagina"/>
                        <w:rFonts w:ascii="Arial" w:hAnsi="Arial" w:cs="Arial"/>
                        <w:color w:val="FFFFFF"/>
                        <w:sz w:val="40"/>
                        <w:szCs w:val="40"/>
                      </w:rPr>
                    </w:pPr>
                    <w:r w:rsidRPr="00433861">
                      <w:fldChar w:fldCharType="begin"/>
                    </w:r>
                    <w:r w:rsidRPr="00433861">
                      <w:rPr>
                        <w:rFonts w:ascii="Arial" w:hAnsi="Arial" w:cs="Arial"/>
                        <w:sz w:val="40"/>
                      </w:rPr>
                      <w:instrText>PAGE    \* MERGEFORMAT</w:instrText>
                    </w:r>
                    <w:r w:rsidRPr="00433861">
                      <w:fldChar w:fldCharType="separate"/>
                    </w:r>
                    <w:r w:rsidRPr="00DC0124">
                      <w:rPr>
                        <w:rStyle w:val="Numeropagina"/>
                        <w:b/>
                        <w:color w:val="FFFFFF"/>
                      </w:rPr>
                      <w:t>1</w:t>
                    </w:r>
                    <w:r w:rsidRPr="00433861">
                      <w:rPr>
                        <w:rStyle w:val="Numeropagina"/>
                        <w:rFonts w:ascii="Arial" w:hAnsi="Arial" w:cs="Arial"/>
                        <w:b/>
                        <w:color w:val="FFFFFF"/>
                        <w:sz w:val="40"/>
                      </w:rPr>
                      <w:fldChar w:fldCharType="end"/>
                    </w:r>
                  </w:p>
                </w:txbxContent>
              </v:textbox>
              <w10:wrap anchorx="page" anchory="page"/>
            </v:oval>
          </w:pict>
        </mc:Fallback>
      </mc:AlternateContent>
    </w:r>
    <w:r>
      <w:rPr>
        <w:noProof/>
      </w:rPr>
      <mc:AlternateContent>
        <mc:Choice Requires="wps">
          <w:drawing>
            <wp:anchor distT="45720" distB="45720" distL="114300" distR="114300" simplePos="0" relativeHeight="251658240" behindDoc="0" locked="0" layoutInCell="1" allowOverlap="1" wp14:anchorId="560D8114" wp14:editId="560D8115">
              <wp:simplePos x="0" y="0"/>
              <wp:positionH relativeFrom="column">
                <wp:posOffset>1906270</wp:posOffset>
              </wp:positionH>
              <wp:positionV relativeFrom="paragraph">
                <wp:posOffset>327660</wp:posOffset>
              </wp:positionV>
              <wp:extent cx="3979545" cy="4318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811B" w14:textId="77777777" w:rsidR="003F6CDC" w:rsidRPr="00BB1EEB" w:rsidRDefault="003F6CDC" w:rsidP="005E2AF4">
                          <w:pPr>
                            <w:pBdr>
                              <w:bottom w:val="single" w:sz="4" w:space="1" w:color="808080"/>
                            </w:pBdr>
                            <w:rPr>
                              <w:rFonts w:ascii="Arial" w:hAnsi="Arial" w:cs="Arial"/>
                              <w:color w:val="808080"/>
                              <w:sz w:val="44"/>
                              <w:szCs w:val="44"/>
                            </w:rPr>
                          </w:pPr>
                          <w:r>
                            <w:rPr>
                              <w:rFonts w:ascii="Arial" w:hAnsi="Arial"/>
                              <w:color w:val="808080"/>
                              <w:sz w:val="44"/>
                            </w:rPr>
                            <w:t>PRESS RELEASE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0D8114" id="_x0000_t202" coordsize="21600,21600" o:spt="202" path="m,l,21600r21600,l21600,xe">
              <v:stroke joinstyle="miter"/>
              <v:path gradientshapeok="t" o:connecttype="rect"/>
            </v:shapetype>
            <v:shape id="Text Box 2" o:spid="_x0000_s1029" type="#_x0000_t202" style="position:absolute;margin-left:150.1pt;margin-top:25.8pt;width:313.35pt;height:3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" filled="f" stroked="f">
              <v:textbox style="mso-fit-shape-to-text:t">
                <w:txbxContent>
                  <w:p w14:paraId="560D811B" w14:textId="77777777" w:rsidR="003F6CDC" w:rsidRPr="00BB1EEB" w:rsidRDefault="003F6CDC" w:rsidP="005E2AF4">
                    <w:pPr>
                      <w:pBdr>
                        <w:bottom w:val="single" w:sz="4" w:space="1" w:color="808080"/>
                      </w:pBdr>
                      <w:rPr>
                        <w:rFonts w:ascii="Arial" w:hAnsi="Arial" w:cs="Arial"/>
                        <w:color w:val="808080"/>
                        <w:sz w:val="44"/>
                        <w:szCs w:val="44"/>
                      </w:rPr>
                    </w:pPr>
                    <w:r>
                      <w:rPr>
                        <w:rFonts w:ascii="Arial" w:hAnsi="Arial"/>
                        <w:color w:val="808080"/>
                        <w:sz w:val="44"/>
                      </w:rPr>
                      <w:t>PRESS RELEASE</w:t>
                    </w:r>
                  </w:p>
                </w:txbxContent>
              </v:textbox>
              <w10:wrap type="square"/>
            </v:shape>
          </w:pict>
        </mc:Fallback>
      </mc:AlternateContent>
    </w:r>
    <w:r>
      <w:rPr>
        <w:noProof/>
      </w:rPr>
      <w:drawing>
        <wp:inline distT="0" distB="0" distL="0" distR="0" wp14:anchorId="49E7A8F2" wp14:editId="44319C81">
          <wp:extent cx="166116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27" b="15527"/>
                  <a:stretch>
                    <a:fillRect/>
                  </a:stretch>
                </pic:blipFill>
                <pic:spPr bwMode="auto">
                  <a:xfrm>
                    <a:off x="0" y="0"/>
                    <a:ext cx="166116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5470"/>
    <w:multiLevelType w:val="hybridMultilevel"/>
    <w:tmpl w:val="085C0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6A4B55"/>
    <w:multiLevelType w:val="hybridMultilevel"/>
    <w:tmpl w:val="709A1E0E"/>
    <w:lvl w:ilvl="0" w:tplc="2812AF52">
      <w:start w:val="1"/>
      <w:numFmt w:val="decimal"/>
      <w:lvlText w:val="(%1)"/>
      <w:lvlJc w:val="left"/>
      <w:pPr>
        <w:ind w:left="720" w:hanging="360"/>
      </w:pPr>
      <w:rPr>
        <w:rFonts w:ascii="Arial" w:hAnsi="Arial" w:cs="Arial"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C50E61"/>
    <w:multiLevelType w:val="hybridMultilevel"/>
    <w:tmpl w:val="A650CACC"/>
    <w:lvl w:ilvl="0" w:tplc="D05838E8">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1B0D56"/>
    <w:multiLevelType w:val="hybridMultilevel"/>
    <w:tmpl w:val="9CFE69FC"/>
    <w:lvl w:ilvl="0" w:tplc="5BC874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075C0"/>
    <w:multiLevelType w:val="hybridMultilevel"/>
    <w:tmpl w:val="A8E280DE"/>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5" w15:restartNumberingAfterBreak="0">
    <w:nsid w:val="1BDD366E"/>
    <w:multiLevelType w:val="hybridMultilevel"/>
    <w:tmpl w:val="B0AE9850"/>
    <w:lvl w:ilvl="0" w:tplc="D1DC80A2">
      <w:start w:val="1"/>
      <w:numFmt w:val="bullet"/>
      <w:lvlText w:val=""/>
      <w:lvlJc w:val="left"/>
      <w:pPr>
        <w:tabs>
          <w:tab w:val="num" w:pos="360"/>
        </w:tabs>
        <w:ind w:left="360" w:hanging="360"/>
      </w:pPr>
      <w:rPr>
        <w:rFonts w:ascii="Symbol" w:hAnsi="Symbol" w:hint="default"/>
        <w:b w:val="0"/>
        <w:sz w:val="22"/>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5A660A"/>
    <w:multiLevelType w:val="hybridMultilevel"/>
    <w:tmpl w:val="AD0A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46F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01671E"/>
    <w:multiLevelType w:val="hybridMultilevel"/>
    <w:tmpl w:val="01DEE21C"/>
    <w:lvl w:ilvl="0" w:tplc="FBC07E30">
      <w:start w:val="1"/>
      <w:numFmt w:val="bullet"/>
      <w:lvlText w:val="•"/>
      <w:lvlJc w:val="left"/>
      <w:pPr>
        <w:tabs>
          <w:tab w:val="num" w:pos="360"/>
        </w:tabs>
        <w:ind w:left="360" w:hanging="360"/>
      </w:pPr>
      <w:rPr>
        <w:rFonts w:ascii="Times New Roman" w:hAnsi="Times New Roman" w:hint="default"/>
      </w:rPr>
    </w:lvl>
    <w:lvl w:ilvl="1" w:tplc="6DB066E4" w:tentative="1">
      <w:start w:val="1"/>
      <w:numFmt w:val="bullet"/>
      <w:lvlText w:val="•"/>
      <w:lvlJc w:val="left"/>
      <w:pPr>
        <w:tabs>
          <w:tab w:val="num" w:pos="1080"/>
        </w:tabs>
        <w:ind w:left="1080" w:hanging="360"/>
      </w:pPr>
      <w:rPr>
        <w:rFonts w:ascii="Times New Roman" w:hAnsi="Times New Roman" w:hint="default"/>
      </w:rPr>
    </w:lvl>
    <w:lvl w:ilvl="2" w:tplc="9220830E" w:tentative="1">
      <w:start w:val="1"/>
      <w:numFmt w:val="bullet"/>
      <w:lvlText w:val="•"/>
      <w:lvlJc w:val="left"/>
      <w:pPr>
        <w:tabs>
          <w:tab w:val="num" w:pos="1800"/>
        </w:tabs>
        <w:ind w:left="1800" w:hanging="360"/>
      </w:pPr>
      <w:rPr>
        <w:rFonts w:ascii="Times New Roman" w:hAnsi="Times New Roman" w:hint="default"/>
      </w:rPr>
    </w:lvl>
    <w:lvl w:ilvl="3" w:tplc="4B6AACA0" w:tentative="1">
      <w:start w:val="1"/>
      <w:numFmt w:val="bullet"/>
      <w:lvlText w:val="•"/>
      <w:lvlJc w:val="left"/>
      <w:pPr>
        <w:tabs>
          <w:tab w:val="num" w:pos="2520"/>
        </w:tabs>
        <w:ind w:left="2520" w:hanging="360"/>
      </w:pPr>
      <w:rPr>
        <w:rFonts w:ascii="Times New Roman" w:hAnsi="Times New Roman" w:hint="default"/>
      </w:rPr>
    </w:lvl>
    <w:lvl w:ilvl="4" w:tplc="E4262B0C" w:tentative="1">
      <w:start w:val="1"/>
      <w:numFmt w:val="bullet"/>
      <w:lvlText w:val="•"/>
      <w:lvlJc w:val="left"/>
      <w:pPr>
        <w:tabs>
          <w:tab w:val="num" w:pos="3240"/>
        </w:tabs>
        <w:ind w:left="3240" w:hanging="360"/>
      </w:pPr>
      <w:rPr>
        <w:rFonts w:ascii="Times New Roman" w:hAnsi="Times New Roman" w:hint="default"/>
      </w:rPr>
    </w:lvl>
    <w:lvl w:ilvl="5" w:tplc="E96EAC38" w:tentative="1">
      <w:start w:val="1"/>
      <w:numFmt w:val="bullet"/>
      <w:lvlText w:val="•"/>
      <w:lvlJc w:val="left"/>
      <w:pPr>
        <w:tabs>
          <w:tab w:val="num" w:pos="3960"/>
        </w:tabs>
        <w:ind w:left="3960" w:hanging="360"/>
      </w:pPr>
      <w:rPr>
        <w:rFonts w:ascii="Times New Roman" w:hAnsi="Times New Roman" w:hint="default"/>
      </w:rPr>
    </w:lvl>
    <w:lvl w:ilvl="6" w:tplc="55FE4AA8" w:tentative="1">
      <w:start w:val="1"/>
      <w:numFmt w:val="bullet"/>
      <w:lvlText w:val="•"/>
      <w:lvlJc w:val="left"/>
      <w:pPr>
        <w:tabs>
          <w:tab w:val="num" w:pos="4680"/>
        </w:tabs>
        <w:ind w:left="4680" w:hanging="360"/>
      </w:pPr>
      <w:rPr>
        <w:rFonts w:ascii="Times New Roman" w:hAnsi="Times New Roman" w:hint="default"/>
      </w:rPr>
    </w:lvl>
    <w:lvl w:ilvl="7" w:tplc="97762300" w:tentative="1">
      <w:start w:val="1"/>
      <w:numFmt w:val="bullet"/>
      <w:lvlText w:val="•"/>
      <w:lvlJc w:val="left"/>
      <w:pPr>
        <w:tabs>
          <w:tab w:val="num" w:pos="5400"/>
        </w:tabs>
        <w:ind w:left="5400" w:hanging="360"/>
      </w:pPr>
      <w:rPr>
        <w:rFonts w:ascii="Times New Roman" w:hAnsi="Times New Roman" w:hint="default"/>
      </w:rPr>
    </w:lvl>
    <w:lvl w:ilvl="8" w:tplc="41362E28"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28A5080D"/>
    <w:multiLevelType w:val="hybridMultilevel"/>
    <w:tmpl w:val="2898B7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BB860FC"/>
    <w:multiLevelType w:val="hybridMultilevel"/>
    <w:tmpl w:val="CB62F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8EE3AD4"/>
    <w:multiLevelType w:val="hybridMultilevel"/>
    <w:tmpl w:val="51E071CA"/>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6076CB"/>
    <w:multiLevelType w:val="hybridMultilevel"/>
    <w:tmpl w:val="5D308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D87E93"/>
    <w:multiLevelType w:val="hybridMultilevel"/>
    <w:tmpl w:val="64D00648"/>
    <w:lvl w:ilvl="0" w:tplc="384E7EF6">
      <w:start w:val="1"/>
      <w:numFmt w:val="bullet"/>
      <w:lvlText w:val="•"/>
      <w:lvlJc w:val="left"/>
      <w:pPr>
        <w:tabs>
          <w:tab w:val="num" w:pos="720"/>
        </w:tabs>
        <w:ind w:left="720" w:hanging="360"/>
      </w:pPr>
      <w:rPr>
        <w:rFonts w:ascii="Times New Roman" w:hAnsi="Times New Roman" w:hint="default"/>
      </w:rPr>
    </w:lvl>
    <w:lvl w:ilvl="1" w:tplc="322E683C" w:tentative="1">
      <w:start w:val="1"/>
      <w:numFmt w:val="bullet"/>
      <w:lvlText w:val="•"/>
      <w:lvlJc w:val="left"/>
      <w:pPr>
        <w:tabs>
          <w:tab w:val="num" w:pos="1440"/>
        </w:tabs>
        <w:ind w:left="1440" w:hanging="360"/>
      </w:pPr>
      <w:rPr>
        <w:rFonts w:ascii="Times New Roman" w:hAnsi="Times New Roman" w:hint="default"/>
      </w:rPr>
    </w:lvl>
    <w:lvl w:ilvl="2" w:tplc="534AA2B6" w:tentative="1">
      <w:start w:val="1"/>
      <w:numFmt w:val="bullet"/>
      <w:lvlText w:val="•"/>
      <w:lvlJc w:val="left"/>
      <w:pPr>
        <w:tabs>
          <w:tab w:val="num" w:pos="2160"/>
        </w:tabs>
        <w:ind w:left="2160" w:hanging="360"/>
      </w:pPr>
      <w:rPr>
        <w:rFonts w:ascii="Times New Roman" w:hAnsi="Times New Roman" w:hint="default"/>
      </w:rPr>
    </w:lvl>
    <w:lvl w:ilvl="3" w:tplc="BC188F46" w:tentative="1">
      <w:start w:val="1"/>
      <w:numFmt w:val="bullet"/>
      <w:lvlText w:val="•"/>
      <w:lvlJc w:val="left"/>
      <w:pPr>
        <w:tabs>
          <w:tab w:val="num" w:pos="2880"/>
        </w:tabs>
        <w:ind w:left="2880" w:hanging="360"/>
      </w:pPr>
      <w:rPr>
        <w:rFonts w:ascii="Times New Roman" w:hAnsi="Times New Roman" w:hint="default"/>
      </w:rPr>
    </w:lvl>
    <w:lvl w:ilvl="4" w:tplc="1AB27666" w:tentative="1">
      <w:start w:val="1"/>
      <w:numFmt w:val="bullet"/>
      <w:lvlText w:val="•"/>
      <w:lvlJc w:val="left"/>
      <w:pPr>
        <w:tabs>
          <w:tab w:val="num" w:pos="3600"/>
        </w:tabs>
        <w:ind w:left="3600" w:hanging="360"/>
      </w:pPr>
      <w:rPr>
        <w:rFonts w:ascii="Times New Roman" w:hAnsi="Times New Roman" w:hint="default"/>
      </w:rPr>
    </w:lvl>
    <w:lvl w:ilvl="5" w:tplc="BF7EBD4C" w:tentative="1">
      <w:start w:val="1"/>
      <w:numFmt w:val="bullet"/>
      <w:lvlText w:val="•"/>
      <w:lvlJc w:val="left"/>
      <w:pPr>
        <w:tabs>
          <w:tab w:val="num" w:pos="4320"/>
        </w:tabs>
        <w:ind w:left="4320" w:hanging="360"/>
      </w:pPr>
      <w:rPr>
        <w:rFonts w:ascii="Times New Roman" w:hAnsi="Times New Roman" w:hint="default"/>
      </w:rPr>
    </w:lvl>
    <w:lvl w:ilvl="6" w:tplc="909E85D2" w:tentative="1">
      <w:start w:val="1"/>
      <w:numFmt w:val="bullet"/>
      <w:lvlText w:val="•"/>
      <w:lvlJc w:val="left"/>
      <w:pPr>
        <w:tabs>
          <w:tab w:val="num" w:pos="5040"/>
        </w:tabs>
        <w:ind w:left="5040" w:hanging="360"/>
      </w:pPr>
      <w:rPr>
        <w:rFonts w:ascii="Times New Roman" w:hAnsi="Times New Roman" w:hint="default"/>
      </w:rPr>
    </w:lvl>
    <w:lvl w:ilvl="7" w:tplc="4356A1F4" w:tentative="1">
      <w:start w:val="1"/>
      <w:numFmt w:val="bullet"/>
      <w:lvlText w:val="•"/>
      <w:lvlJc w:val="left"/>
      <w:pPr>
        <w:tabs>
          <w:tab w:val="num" w:pos="5760"/>
        </w:tabs>
        <w:ind w:left="5760" w:hanging="360"/>
      </w:pPr>
      <w:rPr>
        <w:rFonts w:ascii="Times New Roman" w:hAnsi="Times New Roman" w:hint="default"/>
      </w:rPr>
    </w:lvl>
    <w:lvl w:ilvl="8" w:tplc="91A6099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D6973A8"/>
    <w:multiLevelType w:val="hybridMultilevel"/>
    <w:tmpl w:val="A7F85256"/>
    <w:lvl w:ilvl="0" w:tplc="213A221C">
      <w:start w:val="1"/>
      <w:numFmt w:val="bullet"/>
      <w:lvlText w:val="•"/>
      <w:lvlJc w:val="left"/>
      <w:pPr>
        <w:tabs>
          <w:tab w:val="num" w:pos="720"/>
        </w:tabs>
        <w:ind w:left="720" w:hanging="360"/>
      </w:pPr>
      <w:rPr>
        <w:rFonts w:ascii="Times New Roman" w:hAnsi="Times New Roman" w:hint="default"/>
      </w:rPr>
    </w:lvl>
    <w:lvl w:ilvl="1" w:tplc="FAB246BA" w:tentative="1">
      <w:start w:val="1"/>
      <w:numFmt w:val="bullet"/>
      <w:lvlText w:val="•"/>
      <w:lvlJc w:val="left"/>
      <w:pPr>
        <w:tabs>
          <w:tab w:val="num" w:pos="1440"/>
        </w:tabs>
        <w:ind w:left="1440" w:hanging="360"/>
      </w:pPr>
      <w:rPr>
        <w:rFonts w:ascii="Times New Roman" w:hAnsi="Times New Roman" w:hint="default"/>
      </w:rPr>
    </w:lvl>
    <w:lvl w:ilvl="2" w:tplc="D57692E4" w:tentative="1">
      <w:start w:val="1"/>
      <w:numFmt w:val="bullet"/>
      <w:lvlText w:val="•"/>
      <w:lvlJc w:val="left"/>
      <w:pPr>
        <w:tabs>
          <w:tab w:val="num" w:pos="2160"/>
        </w:tabs>
        <w:ind w:left="2160" w:hanging="360"/>
      </w:pPr>
      <w:rPr>
        <w:rFonts w:ascii="Times New Roman" w:hAnsi="Times New Roman" w:hint="default"/>
      </w:rPr>
    </w:lvl>
    <w:lvl w:ilvl="3" w:tplc="B2D888FE" w:tentative="1">
      <w:start w:val="1"/>
      <w:numFmt w:val="bullet"/>
      <w:lvlText w:val="•"/>
      <w:lvlJc w:val="left"/>
      <w:pPr>
        <w:tabs>
          <w:tab w:val="num" w:pos="2880"/>
        </w:tabs>
        <w:ind w:left="2880" w:hanging="360"/>
      </w:pPr>
      <w:rPr>
        <w:rFonts w:ascii="Times New Roman" w:hAnsi="Times New Roman" w:hint="default"/>
      </w:rPr>
    </w:lvl>
    <w:lvl w:ilvl="4" w:tplc="19EA6E50" w:tentative="1">
      <w:start w:val="1"/>
      <w:numFmt w:val="bullet"/>
      <w:lvlText w:val="•"/>
      <w:lvlJc w:val="left"/>
      <w:pPr>
        <w:tabs>
          <w:tab w:val="num" w:pos="3600"/>
        </w:tabs>
        <w:ind w:left="3600" w:hanging="360"/>
      </w:pPr>
      <w:rPr>
        <w:rFonts w:ascii="Times New Roman" w:hAnsi="Times New Roman" w:hint="default"/>
      </w:rPr>
    </w:lvl>
    <w:lvl w:ilvl="5" w:tplc="6C80F920" w:tentative="1">
      <w:start w:val="1"/>
      <w:numFmt w:val="bullet"/>
      <w:lvlText w:val="•"/>
      <w:lvlJc w:val="left"/>
      <w:pPr>
        <w:tabs>
          <w:tab w:val="num" w:pos="4320"/>
        </w:tabs>
        <w:ind w:left="4320" w:hanging="360"/>
      </w:pPr>
      <w:rPr>
        <w:rFonts w:ascii="Times New Roman" w:hAnsi="Times New Roman" w:hint="default"/>
      </w:rPr>
    </w:lvl>
    <w:lvl w:ilvl="6" w:tplc="C4CE9400" w:tentative="1">
      <w:start w:val="1"/>
      <w:numFmt w:val="bullet"/>
      <w:lvlText w:val="•"/>
      <w:lvlJc w:val="left"/>
      <w:pPr>
        <w:tabs>
          <w:tab w:val="num" w:pos="5040"/>
        </w:tabs>
        <w:ind w:left="5040" w:hanging="360"/>
      </w:pPr>
      <w:rPr>
        <w:rFonts w:ascii="Times New Roman" w:hAnsi="Times New Roman" w:hint="default"/>
      </w:rPr>
    </w:lvl>
    <w:lvl w:ilvl="7" w:tplc="39920B34" w:tentative="1">
      <w:start w:val="1"/>
      <w:numFmt w:val="bullet"/>
      <w:lvlText w:val="•"/>
      <w:lvlJc w:val="left"/>
      <w:pPr>
        <w:tabs>
          <w:tab w:val="num" w:pos="5760"/>
        </w:tabs>
        <w:ind w:left="5760" w:hanging="360"/>
      </w:pPr>
      <w:rPr>
        <w:rFonts w:ascii="Times New Roman" w:hAnsi="Times New Roman" w:hint="default"/>
      </w:rPr>
    </w:lvl>
    <w:lvl w:ilvl="8" w:tplc="3FEA5F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EB259FC"/>
    <w:multiLevelType w:val="hybridMultilevel"/>
    <w:tmpl w:val="52F2729A"/>
    <w:lvl w:ilvl="0" w:tplc="214250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5211CE7"/>
    <w:multiLevelType w:val="hybridMultilevel"/>
    <w:tmpl w:val="07D4CF5A"/>
    <w:lvl w:ilvl="0" w:tplc="5BC874D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012C41"/>
    <w:multiLevelType w:val="hybridMultilevel"/>
    <w:tmpl w:val="06567ED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0C77E94"/>
    <w:multiLevelType w:val="hybridMultilevel"/>
    <w:tmpl w:val="AAA06E98"/>
    <w:lvl w:ilvl="0" w:tplc="1BD2BD3C">
      <w:start w:val="1"/>
      <w:numFmt w:val="bullet"/>
      <w:lvlText w:val="•"/>
      <w:lvlJc w:val="left"/>
      <w:pPr>
        <w:tabs>
          <w:tab w:val="num" w:pos="720"/>
        </w:tabs>
        <w:ind w:left="720" w:hanging="360"/>
      </w:pPr>
      <w:rPr>
        <w:rFonts w:ascii="Times New Roman" w:hAnsi="Times New Roman" w:hint="default"/>
      </w:rPr>
    </w:lvl>
    <w:lvl w:ilvl="1" w:tplc="4F58757A" w:tentative="1">
      <w:start w:val="1"/>
      <w:numFmt w:val="bullet"/>
      <w:lvlText w:val="•"/>
      <w:lvlJc w:val="left"/>
      <w:pPr>
        <w:tabs>
          <w:tab w:val="num" w:pos="1440"/>
        </w:tabs>
        <w:ind w:left="1440" w:hanging="360"/>
      </w:pPr>
      <w:rPr>
        <w:rFonts w:ascii="Times New Roman" w:hAnsi="Times New Roman" w:hint="default"/>
      </w:rPr>
    </w:lvl>
    <w:lvl w:ilvl="2" w:tplc="50424E44" w:tentative="1">
      <w:start w:val="1"/>
      <w:numFmt w:val="bullet"/>
      <w:lvlText w:val="•"/>
      <w:lvlJc w:val="left"/>
      <w:pPr>
        <w:tabs>
          <w:tab w:val="num" w:pos="2160"/>
        </w:tabs>
        <w:ind w:left="2160" w:hanging="360"/>
      </w:pPr>
      <w:rPr>
        <w:rFonts w:ascii="Times New Roman" w:hAnsi="Times New Roman" w:hint="default"/>
      </w:rPr>
    </w:lvl>
    <w:lvl w:ilvl="3" w:tplc="208C222E" w:tentative="1">
      <w:start w:val="1"/>
      <w:numFmt w:val="bullet"/>
      <w:lvlText w:val="•"/>
      <w:lvlJc w:val="left"/>
      <w:pPr>
        <w:tabs>
          <w:tab w:val="num" w:pos="2880"/>
        </w:tabs>
        <w:ind w:left="2880" w:hanging="360"/>
      </w:pPr>
      <w:rPr>
        <w:rFonts w:ascii="Times New Roman" w:hAnsi="Times New Roman" w:hint="default"/>
      </w:rPr>
    </w:lvl>
    <w:lvl w:ilvl="4" w:tplc="CB621554" w:tentative="1">
      <w:start w:val="1"/>
      <w:numFmt w:val="bullet"/>
      <w:lvlText w:val="•"/>
      <w:lvlJc w:val="left"/>
      <w:pPr>
        <w:tabs>
          <w:tab w:val="num" w:pos="3600"/>
        </w:tabs>
        <w:ind w:left="3600" w:hanging="360"/>
      </w:pPr>
      <w:rPr>
        <w:rFonts w:ascii="Times New Roman" w:hAnsi="Times New Roman" w:hint="default"/>
      </w:rPr>
    </w:lvl>
    <w:lvl w:ilvl="5" w:tplc="7CF8D160" w:tentative="1">
      <w:start w:val="1"/>
      <w:numFmt w:val="bullet"/>
      <w:lvlText w:val="•"/>
      <w:lvlJc w:val="left"/>
      <w:pPr>
        <w:tabs>
          <w:tab w:val="num" w:pos="4320"/>
        </w:tabs>
        <w:ind w:left="4320" w:hanging="360"/>
      </w:pPr>
      <w:rPr>
        <w:rFonts w:ascii="Times New Roman" w:hAnsi="Times New Roman" w:hint="default"/>
      </w:rPr>
    </w:lvl>
    <w:lvl w:ilvl="6" w:tplc="EFE8493E" w:tentative="1">
      <w:start w:val="1"/>
      <w:numFmt w:val="bullet"/>
      <w:lvlText w:val="•"/>
      <w:lvlJc w:val="left"/>
      <w:pPr>
        <w:tabs>
          <w:tab w:val="num" w:pos="5040"/>
        </w:tabs>
        <w:ind w:left="5040" w:hanging="360"/>
      </w:pPr>
      <w:rPr>
        <w:rFonts w:ascii="Times New Roman" w:hAnsi="Times New Roman" w:hint="default"/>
      </w:rPr>
    </w:lvl>
    <w:lvl w:ilvl="7" w:tplc="26B2D278" w:tentative="1">
      <w:start w:val="1"/>
      <w:numFmt w:val="bullet"/>
      <w:lvlText w:val="•"/>
      <w:lvlJc w:val="left"/>
      <w:pPr>
        <w:tabs>
          <w:tab w:val="num" w:pos="5760"/>
        </w:tabs>
        <w:ind w:left="5760" w:hanging="360"/>
      </w:pPr>
      <w:rPr>
        <w:rFonts w:ascii="Times New Roman" w:hAnsi="Times New Roman" w:hint="default"/>
      </w:rPr>
    </w:lvl>
    <w:lvl w:ilvl="8" w:tplc="FF5E556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5396917"/>
    <w:multiLevelType w:val="hybridMultilevel"/>
    <w:tmpl w:val="A79EE394"/>
    <w:lvl w:ilvl="0" w:tplc="5E463508">
      <w:start w:val="1"/>
      <w:numFmt w:val="bullet"/>
      <w:lvlText w:val="•"/>
      <w:lvlJc w:val="left"/>
      <w:pPr>
        <w:tabs>
          <w:tab w:val="num" w:pos="720"/>
        </w:tabs>
        <w:ind w:left="720" w:hanging="360"/>
      </w:pPr>
      <w:rPr>
        <w:rFonts w:ascii="Times New Roman" w:hAnsi="Times New Roman" w:hint="default"/>
      </w:rPr>
    </w:lvl>
    <w:lvl w:ilvl="1" w:tplc="FB98861A" w:tentative="1">
      <w:start w:val="1"/>
      <w:numFmt w:val="bullet"/>
      <w:lvlText w:val="•"/>
      <w:lvlJc w:val="left"/>
      <w:pPr>
        <w:tabs>
          <w:tab w:val="num" w:pos="1440"/>
        </w:tabs>
        <w:ind w:left="1440" w:hanging="360"/>
      </w:pPr>
      <w:rPr>
        <w:rFonts w:ascii="Times New Roman" w:hAnsi="Times New Roman" w:hint="default"/>
      </w:rPr>
    </w:lvl>
    <w:lvl w:ilvl="2" w:tplc="0E845AE6" w:tentative="1">
      <w:start w:val="1"/>
      <w:numFmt w:val="bullet"/>
      <w:lvlText w:val="•"/>
      <w:lvlJc w:val="left"/>
      <w:pPr>
        <w:tabs>
          <w:tab w:val="num" w:pos="2160"/>
        </w:tabs>
        <w:ind w:left="2160" w:hanging="360"/>
      </w:pPr>
      <w:rPr>
        <w:rFonts w:ascii="Times New Roman" w:hAnsi="Times New Roman" w:hint="default"/>
      </w:rPr>
    </w:lvl>
    <w:lvl w:ilvl="3" w:tplc="80D6FAEC" w:tentative="1">
      <w:start w:val="1"/>
      <w:numFmt w:val="bullet"/>
      <w:lvlText w:val="•"/>
      <w:lvlJc w:val="left"/>
      <w:pPr>
        <w:tabs>
          <w:tab w:val="num" w:pos="2880"/>
        </w:tabs>
        <w:ind w:left="2880" w:hanging="360"/>
      </w:pPr>
      <w:rPr>
        <w:rFonts w:ascii="Times New Roman" w:hAnsi="Times New Roman" w:hint="default"/>
      </w:rPr>
    </w:lvl>
    <w:lvl w:ilvl="4" w:tplc="D220BE5E" w:tentative="1">
      <w:start w:val="1"/>
      <w:numFmt w:val="bullet"/>
      <w:lvlText w:val="•"/>
      <w:lvlJc w:val="left"/>
      <w:pPr>
        <w:tabs>
          <w:tab w:val="num" w:pos="3600"/>
        </w:tabs>
        <w:ind w:left="3600" w:hanging="360"/>
      </w:pPr>
      <w:rPr>
        <w:rFonts w:ascii="Times New Roman" w:hAnsi="Times New Roman" w:hint="default"/>
      </w:rPr>
    </w:lvl>
    <w:lvl w:ilvl="5" w:tplc="9FF8784A" w:tentative="1">
      <w:start w:val="1"/>
      <w:numFmt w:val="bullet"/>
      <w:lvlText w:val="•"/>
      <w:lvlJc w:val="left"/>
      <w:pPr>
        <w:tabs>
          <w:tab w:val="num" w:pos="4320"/>
        </w:tabs>
        <w:ind w:left="4320" w:hanging="360"/>
      </w:pPr>
      <w:rPr>
        <w:rFonts w:ascii="Times New Roman" w:hAnsi="Times New Roman" w:hint="default"/>
      </w:rPr>
    </w:lvl>
    <w:lvl w:ilvl="6" w:tplc="14B81FFA" w:tentative="1">
      <w:start w:val="1"/>
      <w:numFmt w:val="bullet"/>
      <w:lvlText w:val="•"/>
      <w:lvlJc w:val="left"/>
      <w:pPr>
        <w:tabs>
          <w:tab w:val="num" w:pos="5040"/>
        </w:tabs>
        <w:ind w:left="5040" w:hanging="360"/>
      </w:pPr>
      <w:rPr>
        <w:rFonts w:ascii="Times New Roman" w:hAnsi="Times New Roman" w:hint="default"/>
      </w:rPr>
    </w:lvl>
    <w:lvl w:ilvl="7" w:tplc="0170910A" w:tentative="1">
      <w:start w:val="1"/>
      <w:numFmt w:val="bullet"/>
      <w:lvlText w:val="•"/>
      <w:lvlJc w:val="left"/>
      <w:pPr>
        <w:tabs>
          <w:tab w:val="num" w:pos="5760"/>
        </w:tabs>
        <w:ind w:left="5760" w:hanging="360"/>
      </w:pPr>
      <w:rPr>
        <w:rFonts w:ascii="Times New Roman" w:hAnsi="Times New Roman" w:hint="default"/>
      </w:rPr>
    </w:lvl>
    <w:lvl w:ilvl="8" w:tplc="CAF00CB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7A70491"/>
    <w:multiLevelType w:val="hybridMultilevel"/>
    <w:tmpl w:val="D3C6F73C"/>
    <w:lvl w:ilvl="0" w:tplc="434AE55E">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9A8704B"/>
    <w:multiLevelType w:val="hybridMultilevel"/>
    <w:tmpl w:val="6A7C9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9C974CE"/>
    <w:multiLevelType w:val="hybridMultilevel"/>
    <w:tmpl w:val="B43AC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CA87E2C"/>
    <w:multiLevelType w:val="hybridMultilevel"/>
    <w:tmpl w:val="67C8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8160F0"/>
    <w:multiLevelType w:val="hybridMultilevel"/>
    <w:tmpl w:val="2A30DD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1588517">
    <w:abstractNumId w:val="5"/>
  </w:num>
  <w:num w:numId="2" w16cid:durableId="1327125125">
    <w:abstractNumId w:val="14"/>
  </w:num>
  <w:num w:numId="3" w16cid:durableId="1814133174">
    <w:abstractNumId w:val="13"/>
  </w:num>
  <w:num w:numId="4" w16cid:durableId="2146267254">
    <w:abstractNumId w:val="18"/>
  </w:num>
  <w:num w:numId="5" w16cid:durableId="631256570">
    <w:abstractNumId w:val="19"/>
  </w:num>
  <w:num w:numId="6" w16cid:durableId="1905752046">
    <w:abstractNumId w:val="16"/>
  </w:num>
  <w:num w:numId="7" w16cid:durableId="1228036634">
    <w:abstractNumId w:val="1"/>
  </w:num>
  <w:num w:numId="8" w16cid:durableId="1860003205">
    <w:abstractNumId w:val="8"/>
  </w:num>
  <w:num w:numId="9" w16cid:durableId="1634630970">
    <w:abstractNumId w:val="8"/>
  </w:num>
  <w:num w:numId="10" w16cid:durableId="2052992806">
    <w:abstractNumId w:val="12"/>
  </w:num>
  <w:num w:numId="11" w16cid:durableId="2037270285">
    <w:abstractNumId w:val="3"/>
  </w:num>
  <w:num w:numId="12" w16cid:durableId="1885288154">
    <w:abstractNumId w:val="15"/>
  </w:num>
  <w:num w:numId="13" w16cid:durableId="337197172">
    <w:abstractNumId w:val="20"/>
  </w:num>
  <w:num w:numId="14" w16cid:durableId="2063751949">
    <w:abstractNumId w:val="21"/>
  </w:num>
  <w:num w:numId="15" w16cid:durableId="1081491712">
    <w:abstractNumId w:val="24"/>
  </w:num>
  <w:num w:numId="16" w16cid:durableId="1546210476">
    <w:abstractNumId w:val="17"/>
  </w:num>
  <w:num w:numId="17" w16cid:durableId="788624874">
    <w:abstractNumId w:val="17"/>
  </w:num>
  <w:num w:numId="18" w16cid:durableId="1464423598">
    <w:abstractNumId w:val="4"/>
  </w:num>
  <w:num w:numId="19" w16cid:durableId="1666469676">
    <w:abstractNumId w:val="5"/>
  </w:num>
  <w:num w:numId="20" w16cid:durableId="544952064">
    <w:abstractNumId w:val="6"/>
  </w:num>
  <w:num w:numId="21" w16cid:durableId="2094082416">
    <w:abstractNumId w:val="9"/>
  </w:num>
  <w:num w:numId="22" w16cid:durableId="1736708486">
    <w:abstractNumId w:val="23"/>
  </w:num>
  <w:num w:numId="23" w16cid:durableId="1593515836">
    <w:abstractNumId w:val="2"/>
  </w:num>
  <w:num w:numId="24" w16cid:durableId="170682242">
    <w:abstractNumId w:val="7"/>
  </w:num>
  <w:num w:numId="25" w16cid:durableId="1265920548">
    <w:abstractNumId w:val="11"/>
  </w:num>
  <w:num w:numId="26" w16cid:durableId="1889757575">
    <w:abstractNumId w:val="10"/>
  </w:num>
  <w:num w:numId="27" w16cid:durableId="845511464">
    <w:abstractNumId w:val="0"/>
  </w:num>
  <w:num w:numId="28" w16cid:durableId="11534455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strokecolor="#2e74b5">
      <v:stroke color="#2e74b5" weight="1pt"/>
    </o:shapedefaults>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CC124A"/>
    <w:rsid w:val="00000BE8"/>
    <w:rsid w:val="00000DF3"/>
    <w:rsid w:val="00001242"/>
    <w:rsid w:val="000012EC"/>
    <w:rsid w:val="0000140E"/>
    <w:rsid w:val="00001476"/>
    <w:rsid w:val="00001DD5"/>
    <w:rsid w:val="000022F0"/>
    <w:rsid w:val="00002688"/>
    <w:rsid w:val="000026DA"/>
    <w:rsid w:val="000027FF"/>
    <w:rsid w:val="00002BE4"/>
    <w:rsid w:val="00002C8E"/>
    <w:rsid w:val="00002D1F"/>
    <w:rsid w:val="00002E40"/>
    <w:rsid w:val="00003199"/>
    <w:rsid w:val="00003627"/>
    <w:rsid w:val="00003BE6"/>
    <w:rsid w:val="00003C09"/>
    <w:rsid w:val="00003D70"/>
    <w:rsid w:val="00003E46"/>
    <w:rsid w:val="00004242"/>
    <w:rsid w:val="000043DE"/>
    <w:rsid w:val="00004C5C"/>
    <w:rsid w:val="0000508F"/>
    <w:rsid w:val="00005A19"/>
    <w:rsid w:val="00005D07"/>
    <w:rsid w:val="00005D9A"/>
    <w:rsid w:val="00005FC2"/>
    <w:rsid w:val="000060B0"/>
    <w:rsid w:val="00006335"/>
    <w:rsid w:val="0000633C"/>
    <w:rsid w:val="0000670E"/>
    <w:rsid w:val="0000696F"/>
    <w:rsid w:val="00006BB9"/>
    <w:rsid w:val="00006F12"/>
    <w:rsid w:val="000071F0"/>
    <w:rsid w:val="000073BF"/>
    <w:rsid w:val="000074D6"/>
    <w:rsid w:val="000078C5"/>
    <w:rsid w:val="00007CD8"/>
    <w:rsid w:val="00007D14"/>
    <w:rsid w:val="00007FBC"/>
    <w:rsid w:val="000100D8"/>
    <w:rsid w:val="000105F5"/>
    <w:rsid w:val="00010B91"/>
    <w:rsid w:val="00011308"/>
    <w:rsid w:val="000116BC"/>
    <w:rsid w:val="00011B32"/>
    <w:rsid w:val="00011BAF"/>
    <w:rsid w:val="00011DF6"/>
    <w:rsid w:val="00011EDD"/>
    <w:rsid w:val="000120F3"/>
    <w:rsid w:val="000123F4"/>
    <w:rsid w:val="000132F2"/>
    <w:rsid w:val="000133CE"/>
    <w:rsid w:val="00013596"/>
    <w:rsid w:val="0001360B"/>
    <w:rsid w:val="0001377D"/>
    <w:rsid w:val="00014344"/>
    <w:rsid w:val="0001445F"/>
    <w:rsid w:val="00014754"/>
    <w:rsid w:val="00014823"/>
    <w:rsid w:val="000148E8"/>
    <w:rsid w:val="00014E67"/>
    <w:rsid w:val="00015042"/>
    <w:rsid w:val="000156F8"/>
    <w:rsid w:val="00015865"/>
    <w:rsid w:val="00016127"/>
    <w:rsid w:val="000162B9"/>
    <w:rsid w:val="000169E9"/>
    <w:rsid w:val="00016C85"/>
    <w:rsid w:val="00016FE4"/>
    <w:rsid w:val="0001715B"/>
    <w:rsid w:val="000175BE"/>
    <w:rsid w:val="000176D6"/>
    <w:rsid w:val="0001773A"/>
    <w:rsid w:val="0002027D"/>
    <w:rsid w:val="000202D2"/>
    <w:rsid w:val="000203ED"/>
    <w:rsid w:val="000207B7"/>
    <w:rsid w:val="000207C1"/>
    <w:rsid w:val="00020852"/>
    <w:rsid w:val="00020BCE"/>
    <w:rsid w:val="00020FC2"/>
    <w:rsid w:val="000211B9"/>
    <w:rsid w:val="000211C3"/>
    <w:rsid w:val="0002143A"/>
    <w:rsid w:val="00021C5E"/>
    <w:rsid w:val="00021ED4"/>
    <w:rsid w:val="00022387"/>
    <w:rsid w:val="00022981"/>
    <w:rsid w:val="00022CC2"/>
    <w:rsid w:val="00022E48"/>
    <w:rsid w:val="00022F74"/>
    <w:rsid w:val="0002315F"/>
    <w:rsid w:val="0002319A"/>
    <w:rsid w:val="000235DC"/>
    <w:rsid w:val="00023667"/>
    <w:rsid w:val="00024458"/>
    <w:rsid w:val="0002447A"/>
    <w:rsid w:val="000246D0"/>
    <w:rsid w:val="0002478C"/>
    <w:rsid w:val="0002497F"/>
    <w:rsid w:val="00024CA8"/>
    <w:rsid w:val="00025295"/>
    <w:rsid w:val="0002532C"/>
    <w:rsid w:val="0002543F"/>
    <w:rsid w:val="00025603"/>
    <w:rsid w:val="0002584F"/>
    <w:rsid w:val="00025BB3"/>
    <w:rsid w:val="00025CC4"/>
    <w:rsid w:val="00025D24"/>
    <w:rsid w:val="00025F1E"/>
    <w:rsid w:val="0002640D"/>
    <w:rsid w:val="00026652"/>
    <w:rsid w:val="0002679C"/>
    <w:rsid w:val="00026BC7"/>
    <w:rsid w:val="00026CA3"/>
    <w:rsid w:val="00027161"/>
    <w:rsid w:val="000275FE"/>
    <w:rsid w:val="0002781A"/>
    <w:rsid w:val="00027867"/>
    <w:rsid w:val="00027B7C"/>
    <w:rsid w:val="00027C97"/>
    <w:rsid w:val="00030164"/>
    <w:rsid w:val="0003068D"/>
    <w:rsid w:val="00030A8D"/>
    <w:rsid w:val="00030B46"/>
    <w:rsid w:val="000311B7"/>
    <w:rsid w:val="000314CB"/>
    <w:rsid w:val="000314D8"/>
    <w:rsid w:val="0003184D"/>
    <w:rsid w:val="000318EF"/>
    <w:rsid w:val="000324EE"/>
    <w:rsid w:val="000325DA"/>
    <w:rsid w:val="0003262B"/>
    <w:rsid w:val="0003268C"/>
    <w:rsid w:val="000327A7"/>
    <w:rsid w:val="00032A36"/>
    <w:rsid w:val="00032DC9"/>
    <w:rsid w:val="00032F85"/>
    <w:rsid w:val="0003371E"/>
    <w:rsid w:val="00033BC8"/>
    <w:rsid w:val="00033C04"/>
    <w:rsid w:val="00033CE8"/>
    <w:rsid w:val="00034148"/>
    <w:rsid w:val="000345DF"/>
    <w:rsid w:val="000346C3"/>
    <w:rsid w:val="00034865"/>
    <w:rsid w:val="000353E1"/>
    <w:rsid w:val="000354A7"/>
    <w:rsid w:val="00035801"/>
    <w:rsid w:val="00035991"/>
    <w:rsid w:val="00035B86"/>
    <w:rsid w:val="00035BAA"/>
    <w:rsid w:val="00035D77"/>
    <w:rsid w:val="000361DA"/>
    <w:rsid w:val="000367D3"/>
    <w:rsid w:val="000368F5"/>
    <w:rsid w:val="00036D57"/>
    <w:rsid w:val="00037444"/>
    <w:rsid w:val="00037753"/>
    <w:rsid w:val="00037CB5"/>
    <w:rsid w:val="00037F36"/>
    <w:rsid w:val="00040A1C"/>
    <w:rsid w:val="00040DC9"/>
    <w:rsid w:val="00041263"/>
    <w:rsid w:val="00041354"/>
    <w:rsid w:val="000413B6"/>
    <w:rsid w:val="000414DD"/>
    <w:rsid w:val="00041705"/>
    <w:rsid w:val="00041838"/>
    <w:rsid w:val="00041984"/>
    <w:rsid w:val="00041A03"/>
    <w:rsid w:val="00041CEC"/>
    <w:rsid w:val="00041ECE"/>
    <w:rsid w:val="000420F9"/>
    <w:rsid w:val="0004216C"/>
    <w:rsid w:val="00042191"/>
    <w:rsid w:val="00042209"/>
    <w:rsid w:val="0004231E"/>
    <w:rsid w:val="00042332"/>
    <w:rsid w:val="00042715"/>
    <w:rsid w:val="000428BE"/>
    <w:rsid w:val="000428C2"/>
    <w:rsid w:val="00042FF0"/>
    <w:rsid w:val="000431C9"/>
    <w:rsid w:val="00043531"/>
    <w:rsid w:val="0004373D"/>
    <w:rsid w:val="0004391B"/>
    <w:rsid w:val="00043B3A"/>
    <w:rsid w:val="000443F8"/>
    <w:rsid w:val="0004454D"/>
    <w:rsid w:val="00044700"/>
    <w:rsid w:val="0004473D"/>
    <w:rsid w:val="000447AD"/>
    <w:rsid w:val="000448A8"/>
    <w:rsid w:val="000448C6"/>
    <w:rsid w:val="00044A89"/>
    <w:rsid w:val="00044E03"/>
    <w:rsid w:val="0004519B"/>
    <w:rsid w:val="0004519C"/>
    <w:rsid w:val="00045B84"/>
    <w:rsid w:val="0004619B"/>
    <w:rsid w:val="00046235"/>
    <w:rsid w:val="000465B6"/>
    <w:rsid w:val="00046659"/>
    <w:rsid w:val="0004665A"/>
    <w:rsid w:val="0004669D"/>
    <w:rsid w:val="00046AA7"/>
    <w:rsid w:val="00046B63"/>
    <w:rsid w:val="00046DEA"/>
    <w:rsid w:val="00046EC0"/>
    <w:rsid w:val="00046F2A"/>
    <w:rsid w:val="00046FFE"/>
    <w:rsid w:val="00047186"/>
    <w:rsid w:val="00047363"/>
    <w:rsid w:val="000475A0"/>
    <w:rsid w:val="00047653"/>
    <w:rsid w:val="00047836"/>
    <w:rsid w:val="00047948"/>
    <w:rsid w:val="00047F00"/>
    <w:rsid w:val="0005031E"/>
    <w:rsid w:val="000504B1"/>
    <w:rsid w:val="000506D1"/>
    <w:rsid w:val="000506DB"/>
    <w:rsid w:val="00050D32"/>
    <w:rsid w:val="00050EBE"/>
    <w:rsid w:val="000514D4"/>
    <w:rsid w:val="00051537"/>
    <w:rsid w:val="000518D1"/>
    <w:rsid w:val="00051CD7"/>
    <w:rsid w:val="00051F86"/>
    <w:rsid w:val="0005202F"/>
    <w:rsid w:val="0005205D"/>
    <w:rsid w:val="000520CC"/>
    <w:rsid w:val="0005251B"/>
    <w:rsid w:val="000525C8"/>
    <w:rsid w:val="00052AC9"/>
    <w:rsid w:val="00052E89"/>
    <w:rsid w:val="00052F36"/>
    <w:rsid w:val="000533B8"/>
    <w:rsid w:val="000533DF"/>
    <w:rsid w:val="00053408"/>
    <w:rsid w:val="00053AF2"/>
    <w:rsid w:val="00054858"/>
    <w:rsid w:val="00054891"/>
    <w:rsid w:val="00054FE3"/>
    <w:rsid w:val="00055035"/>
    <w:rsid w:val="0005572E"/>
    <w:rsid w:val="0005611C"/>
    <w:rsid w:val="00056CE9"/>
    <w:rsid w:val="00056D01"/>
    <w:rsid w:val="00056E17"/>
    <w:rsid w:val="00056FB9"/>
    <w:rsid w:val="00057BBD"/>
    <w:rsid w:val="00057D3A"/>
    <w:rsid w:val="00057E33"/>
    <w:rsid w:val="00057E5E"/>
    <w:rsid w:val="00060049"/>
    <w:rsid w:val="0006028C"/>
    <w:rsid w:val="0006048C"/>
    <w:rsid w:val="00060701"/>
    <w:rsid w:val="000608C8"/>
    <w:rsid w:val="000609DB"/>
    <w:rsid w:val="00060D3F"/>
    <w:rsid w:val="000611D5"/>
    <w:rsid w:val="00061264"/>
    <w:rsid w:val="0006153C"/>
    <w:rsid w:val="000617F2"/>
    <w:rsid w:val="000618A8"/>
    <w:rsid w:val="000619C1"/>
    <w:rsid w:val="00061E69"/>
    <w:rsid w:val="00062063"/>
    <w:rsid w:val="0006322F"/>
    <w:rsid w:val="00063373"/>
    <w:rsid w:val="0006377A"/>
    <w:rsid w:val="00063C36"/>
    <w:rsid w:val="00063DFC"/>
    <w:rsid w:val="00063E1C"/>
    <w:rsid w:val="00063FE7"/>
    <w:rsid w:val="00064398"/>
    <w:rsid w:val="000643C8"/>
    <w:rsid w:val="00064A48"/>
    <w:rsid w:val="00064D52"/>
    <w:rsid w:val="0006522D"/>
    <w:rsid w:val="000656B7"/>
    <w:rsid w:val="000658B0"/>
    <w:rsid w:val="00065BA9"/>
    <w:rsid w:val="00065D46"/>
    <w:rsid w:val="00065FE5"/>
    <w:rsid w:val="00066407"/>
    <w:rsid w:val="00066444"/>
    <w:rsid w:val="0006650E"/>
    <w:rsid w:val="00066578"/>
    <w:rsid w:val="00066770"/>
    <w:rsid w:val="0006683D"/>
    <w:rsid w:val="000671C2"/>
    <w:rsid w:val="000674D1"/>
    <w:rsid w:val="0006778B"/>
    <w:rsid w:val="00067A75"/>
    <w:rsid w:val="00067A85"/>
    <w:rsid w:val="0007067C"/>
    <w:rsid w:val="0007125C"/>
    <w:rsid w:val="00071AA2"/>
    <w:rsid w:val="00071FF2"/>
    <w:rsid w:val="000720F9"/>
    <w:rsid w:val="000722F9"/>
    <w:rsid w:val="00072832"/>
    <w:rsid w:val="00072D03"/>
    <w:rsid w:val="00072DC2"/>
    <w:rsid w:val="000730D6"/>
    <w:rsid w:val="000730F3"/>
    <w:rsid w:val="000732B6"/>
    <w:rsid w:val="00073A85"/>
    <w:rsid w:val="00073BC6"/>
    <w:rsid w:val="000741E9"/>
    <w:rsid w:val="000747B4"/>
    <w:rsid w:val="000748AB"/>
    <w:rsid w:val="000748EA"/>
    <w:rsid w:val="00074CB5"/>
    <w:rsid w:val="00074D4A"/>
    <w:rsid w:val="00074E8C"/>
    <w:rsid w:val="000752C0"/>
    <w:rsid w:val="000754AB"/>
    <w:rsid w:val="00075615"/>
    <w:rsid w:val="000756DA"/>
    <w:rsid w:val="00075A51"/>
    <w:rsid w:val="00075C79"/>
    <w:rsid w:val="00075D86"/>
    <w:rsid w:val="00076208"/>
    <w:rsid w:val="000764A2"/>
    <w:rsid w:val="0007682D"/>
    <w:rsid w:val="00077A13"/>
    <w:rsid w:val="000807AE"/>
    <w:rsid w:val="00080A49"/>
    <w:rsid w:val="00080C78"/>
    <w:rsid w:val="00081708"/>
    <w:rsid w:val="00081AA7"/>
    <w:rsid w:val="0008213C"/>
    <w:rsid w:val="0008223A"/>
    <w:rsid w:val="000827D9"/>
    <w:rsid w:val="0008302A"/>
    <w:rsid w:val="00083045"/>
    <w:rsid w:val="000838A9"/>
    <w:rsid w:val="000839A1"/>
    <w:rsid w:val="00083B28"/>
    <w:rsid w:val="00083FBA"/>
    <w:rsid w:val="000840EB"/>
    <w:rsid w:val="00084293"/>
    <w:rsid w:val="00084AE2"/>
    <w:rsid w:val="00084E92"/>
    <w:rsid w:val="00085019"/>
    <w:rsid w:val="00085365"/>
    <w:rsid w:val="0008569C"/>
    <w:rsid w:val="000858A9"/>
    <w:rsid w:val="00085B89"/>
    <w:rsid w:val="00085DBB"/>
    <w:rsid w:val="0008651E"/>
    <w:rsid w:val="00086921"/>
    <w:rsid w:val="00086A74"/>
    <w:rsid w:val="00086EB5"/>
    <w:rsid w:val="0008700F"/>
    <w:rsid w:val="00087150"/>
    <w:rsid w:val="00087237"/>
    <w:rsid w:val="00087483"/>
    <w:rsid w:val="00087550"/>
    <w:rsid w:val="0008791B"/>
    <w:rsid w:val="00087F92"/>
    <w:rsid w:val="00090234"/>
    <w:rsid w:val="00090AE0"/>
    <w:rsid w:val="00090E06"/>
    <w:rsid w:val="00090F07"/>
    <w:rsid w:val="00091060"/>
    <w:rsid w:val="00091337"/>
    <w:rsid w:val="00091473"/>
    <w:rsid w:val="000914F6"/>
    <w:rsid w:val="00091578"/>
    <w:rsid w:val="000916F8"/>
    <w:rsid w:val="00092129"/>
    <w:rsid w:val="00092650"/>
    <w:rsid w:val="0009269F"/>
    <w:rsid w:val="0009286F"/>
    <w:rsid w:val="0009305C"/>
    <w:rsid w:val="00093412"/>
    <w:rsid w:val="00093464"/>
    <w:rsid w:val="000938AC"/>
    <w:rsid w:val="00093E3F"/>
    <w:rsid w:val="0009420E"/>
    <w:rsid w:val="0009474F"/>
    <w:rsid w:val="0009486F"/>
    <w:rsid w:val="000949AC"/>
    <w:rsid w:val="00094E3C"/>
    <w:rsid w:val="00095CD0"/>
    <w:rsid w:val="00095E2B"/>
    <w:rsid w:val="000961D0"/>
    <w:rsid w:val="00096519"/>
    <w:rsid w:val="00096AE6"/>
    <w:rsid w:val="00096C77"/>
    <w:rsid w:val="00097051"/>
    <w:rsid w:val="000971F2"/>
    <w:rsid w:val="000973F4"/>
    <w:rsid w:val="00097478"/>
    <w:rsid w:val="000979A5"/>
    <w:rsid w:val="00097DEC"/>
    <w:rsid w:val="00097E44"/>
    <w:rsid w:val="00097F3A"/>
    <w:rsid w:val="000A04F0"/>
    <w:rsid w:val="000A05AE"/>
    <w:rsid w:val="000A060E"/>
    <w:rsid w:val="000A067F"/>
    <w:rsid w:val="000A0CDE"/>
    <w:rsid w:val="000A0FF8"/>
    <w:rsid w:val="000A10A5"/>
    <w:rsid w:val="000A1A4C"/>
    <w:rsid w:val="000A1ED0"/>
    <w:rsid w:val="000A20A6"/>
    <w:rsid w:val="000A2357"/>
    <w:rsid w:val="000A247D"/>
    <w:rsid w:val="000A2ED5"/>
    <w:rsid w:val="000A2F11"/>
    <w:rsid w:val="000A2F5B"/>
    <w:rsid w:val="000A30F1"/>
    <w:rsid w:val="000A349C"/>
    <w:rsid w:val="000A349F"/>
    <w:rsid w:val="000A3D80"/>
    <w:rsid w:val="000A3E2E"/>
    <w:rsid w:val="000A40FF"/>
    <w:rsid w:val="000A4370"/>
    <w:rsid w:val="000A49AB"/>
    <w:rsid w:val="000A4B60"/>
    <w:rsid w:val="000A50AF"/>
    <w:rsid w:val="000A523C"/>
    <w:rsid w:val="000A5279"/>
    <w:rsid w:val="000A53F4"/>
    <w:rsid w:val="000A546F"/>
    <w:rsid w:val="000A54B0"/>
    <w:rsid w:val="000A55D6"/>
    <w:rsid w:val="000A5610"/>
    <w:rsid w:val="000A5861"/>
    <w:rsid w:val="000A5898"/>
    <w:rsid w:val="000A597D"/>
    <w:rsid w:val="000A6058"/>
    <w:rsid w:val="000A6106"/>
    <w:rsid w:val="000A641A"/>
    <w:rsid w:val="000A6455"/>
    <w:rsid w:val="000A68D8"/>
    <w:rsid w:val="000A6C2A"/>
    <w:rsid w:val="000A6FD1"/>
    <w:rsid w:val="000A7512"/>
    <w:rsid w:val="000B00FF"/>
    <w:rsid w:val="000B09ED"/>
    <w:rsid w:val="000B0B38"/>
    <w:rsid w:val="000B0F13"/>
    <w:rsid w:val="000B104E"/>
    <w:rsid w:val="000B1202"/>
    <w:rsid w:val="000B1716"/>
    <w:rsid w:val="000B179C"/>
    <w:rsid w:val="000B18A5"/>
    <w:rsid w:val="000B1ACC"/>
    <w:rsid w:val="000B1C0F"/>
    <w:rsid w:val="000B1C31"/>
    <w:rsid w:val="000B20B0"/>
    <w:rsid w:val="000B21B2"/>
    <w:rsid w:val="000B2815"/>
    <w:rsid w:val="000B2CA0"/>
    <w:rsid w:val="000B2CBB"/>
    <w:rsid w:val="000B31E4"/>
    <w:rsid w:val="000B328F"/>
    <w:rsid w:val="000B33AB"/>
    <w:rsid w:val="000B3489"/>
    <w:rsid w:val="000B34D5"/>
    <w:rsid w:val="000B37F6"/>
    <w:rsid w:val="000B3BEC"/>
    <w:rsid w:val="000B3E25"/>
    <w:rsid w:val="000B4243"/>
    <w:rsid w:val="000B4528"/>
    <w:rsid w:val="000B4E48"/>
    <w:rsid w:val="000B55C5"/>
    <w:rsid w:val="000B5822"/>
    <w:rsid w:val="000B5AB5"/>
    <w:rsid w:val="000B5AC0"/>
    <w:rsid w:val="000B5E8E"/>
    <w:rsid w:val="000B62D6"/>
    <w:rsid w:val="000B63E0"/>
    <w:rsid w:val="000B664E"/>
    <w:rsid w:val="000B6CF4"/>
    <w:rsid w:val="000B6FF8"/>
    <w:rsid w:val="000B7400"/>
    <w:rsid w:val="000B7FF0"/>
    <w:rsid w:val="000C0653"/>
    <w:rsid w:val="000C089B"/>
    <w:rsid w:val="000C0C13"/>
    <w:rsid w:val="000C0D89"/>
    <w:rsid w:val="000C0FB9"/>
    <w:rsid w:val="000C10CD"/>
    <w:rsid w:val="000C1266"/>
    <w:rsid w:val="000C143F"/>
    <w:rsid w:val="000C1492"/>
    <w:rsid w:val="000C14C3"/>
    <w:rsid w:val="000C1649"/>
    <w:rsid w:val="000C16BB"/>
    <w:rsid w:val="000C16C6"/>
    <w:rsid w:val="000C1ABA"/>
    <w:rsid w:val="000C1D15"/>
    <w:rsid w:val="000C1E91"/>
    <w:rsid w:val="000C2014"/>
    <w:rsid w:val="000C224A"/>
    <w:rsid w:val="000C26F2"/>
    <w:rsid w:val="000C2DE4"/>
    <w:rsid w:val="000C2DE9"/>
    <w:rsid w:val="000C3078"/>
    <w:rsid w:val="000C3542"/>
    <w:rsid w:val="000C356B"/>
    <w:rsid w:val="000C3836"/>
    <w:rsid w:val="000C3899"/>
    <w:rsid w:val="000C417D"/>
    <w:rsid w:val="000C42FD"/>
    <w:rsid w:val="000C459F"/>
    <w:rsid w:val="000C4A95"/>
    <w:rsid w:val="000C58D9"/>
    <w:rsid w:val="000C6474"/>
    <w:rsid w:val="000C652E"/>
    <w:rsid w:val="000C6AFF"/>
    <w:rsid w:val="000C6CA2"/>
    <w:rsid w:val="000C6CEA"/>
    <w:rsid w:val="000C72F4"/>
    <w:rsid w:val="000C7AEC"/>
    <w:rsid w:val="000C7B70"/>
    <w:rsid w:val="000C7F2A"/>
    <w:rsid w:val="000C7FAF"/>
    <w:rsid w:val="000C7FB0"/>
    <w:rsid w:val="000D0236"/>
    <w:rsid w:val="000D02DF"/>
    <w:rsid w:val="000D0311"/>
    <w:rsid w:val="000D0401"/>
    <w:rsid w:val="000D06AF"/>
    <w:rsid w:val="000D08A1"/>
    <w:rsid w:val="000D0BD9"/>
    <w:rsid w:val="000D0DA6"/>
    <w:rsid w:val="000D0EC4"/>
    <w:rsid w:val="000D109D"/>
    <w:rsid w:val="000D1447"/>
    <w:rsid w:val="000D15B0"/>
    <w:rsid w:val="000D15BB"/>
    <w:rsid w:val="000D16F1"/>
    <w:rsid w:val="000D17C6"/>
    <w:rsid w:val="000D1845"/>
    <w:rsid w:val="000D18C2"/>
    <w:rsid w:val="000D1D60"/>
    <w:rsid w:val="000D1DDB"/>
    <w:rsid w:val="000D2018"/>
    <w:rsid w:val="000D2448"/>
    <w:rsid w:val="000D27B2"/>
    <w:rsid w:val="000D2EAE"/>
    <w:rsid w:val="000D307C"/>
    <w:rsid w:val="000D30F6"/>
    <w:rsid w:val="000D3766"/>
    <w:rsid w:val="000D3893"/>
    <w:rsid w:val="000D39EA"/>
    <w:rsid w:val="000D3DD9"/>
    <w:rsid w:val="000D43FA"/>
    <w:rsid w:val="000D4AAA"/>
    <w:rsid w:val="000D4AFB"/>
    <w:rsid w:val="000D4C07"/>
    <w:rsid w:val="000D4C63"/>
    <w:rsid w:val="000D4E62"/>
    <w:rsid w:val="000D5311"/>
    <w:rsid w:val="000D5549"/>
    <w:rsid w:val="000D56AA"/>
    <w:rsid w:val="000D5DF3"/>
    <w:rsid w:val="000D6405"/>
    <w:rsid w:val="000D66C6"/>
    <w:rsid w:val="000D6845"/>
    <w:rsid w:val="000D6A42"/>
    <w:rsid w:val="000D6CE8"/>
    <w:rsid w:val="000D6E2B"/>
    <w:rsid w:val="000D70F0"/>
    <w:rsid w:val="000D70FC"/>
    <w:rsid w:val="000D736A"/>
    <w:rsid w:val="000D7566"/>
    <w:rsid w:val="000D7DCC"/>
    <w:rsid w:val="000D7E73"/>
    <w:rsid w:val="000E0145"/>
    <w:rsid w:val="000E0148"/>
    <w:rsid w:val="000E0252"/>
    <w:rsid w:val="000E0428"/>
    <w:rsid w:val="000E072D"/>
    <w:rsid w:val="000E0AFD"/>
    <w:rsid w:val="000E13E8"/>
    <w:rsid w:val="000E16A3"/>
    <w:rsid w:val="000E16D5"/>
    <w:rsid w:val="000E172F"/>
    <w:rsid w:val="000E1801"/>
    <w:rsid w:val="000E1839"/>
    <w:rsid w:val="000E196C"/>
    <w:rsid w:val="000E1B1D"/>
    <w:rsid w:val="000E2032"/>
    <w:rsid w:val="000E24C1"/>
    <w:rsid w:val="000E263C"/>
    <w:rsid w:val="000E2A44"/>
    <w:rsid w:val="000E2B75"/>
    <w:rsid w:val="000E2B86"/>
    <w:rsid w:val="000E2D92"/>
    <w:rsid w:val="000E300F"/>
    <w:rsid w:val="000E3198"/>
    <w:rsid w:val="000E31F3"/>
    <w:rsid w:val="000E46CE"/>
    <w:rsid w:val="000E4C5D"/>
    <w:rsid w:val="000E4DFE"/>
    <w:rsid w:val="000E501C"/>
    <w:rsid w:val="000E51B2"/>
    <w:rsid w:val="000E52C4"/>
    <w:rsid w:val="000E536C"/>
    <w:rsid w:val="000E5670"/>
    <w:rsid w:val="000E5BFD"/>
    <w:rsid w:val="000E6220"/>
    <w:rsid w:val="000E64A7"/>
    <w:rsid w:val="000E6953"/>
    <w:rsid w:val="000E6984"/>
    <w:rsid w:val="000E69F3"/>
    <w:rsid w:val="000E6CF9"/>
    <w:rsid w:val="000E6F88"/>
    <w:rsid w:val="000E737B"/>
    <w:rsid w:val="000E73E8"/>
    <w:rsid w:val="000E74C1"/>
    <w:rsid w:val="000E7632"/>
    <w:rsid w:val="000E79DA"/>
    <w:rsid w:val="000F0298"/>
    <w:rsid w:val="000F0A0D"/>
    <w:rsid w:val="000F0C6E"/>
    <w:rsid w:val="000F0D73"/>
    <w:rsid w:val="000F1142"/>
    <w:rsid w:val="000F13D7"/>
    <w:rsid w:val="000F173D"/>
    <w:rsid w:val="000F17C4"/>
    <w:rsid w:val="000F1A06"/>
    <w:rsid w:val="000F1A4C"/>
    <w:rsid w:val="000F1C1D"/>
    <w:rsid w:val="000F1E41"/>
    <w:rsid w:val="000F21A4"/>
    <w:rsid w:val="000F22CD"/>
    <w:rsid w:val="000F2330"/>
    <w:rsid w:val="000F2354"/>
    <w:rsid w:val="000F26D8"/>
    <w:rsid w:val="000F2903"/>
    <w:rsid w:val="000F2A5D"/>
    <w:rsid w:val="000F2A6C"/>
    <w:rsid w:val="000F2B37"/>
    <w:rsid w:val="000F2D49"/>
    <w:rsid w:val="000F302A"/>
    <w:rsid w:val="000F3149"/>
    <w:rsid w:val="000F344B"/>
    <w:rsid w:val="000F39DE"/>
    <w:rsid w:val="000F3D50"/>
    <w:rsid w:val="000F3EE5"/>
    <w:rsid w:val="000F40B1"/>
    <w:rsid w:val="000F45D2"/>
    <w:rsid w:val="000F475C"/>
    <w:rsid w:val="000F4773"/>
    <w:rsid w:val="000F47D3"/>
    <w:rsid w:val="000F4805"/>
    <w:rsid w:val="000F48A2"/>
    <w:rsid w:val="000F4932"/>
    <w:rsid w:val="000F50A9"/>
    <w:rsid w:val="000F52E2"/>
    <w:rsid w:val="000F5905"/>
    <w:rsid w:val="000F5FE1"/>
    <w:rsid w:val="000F605C"/>
    <w:rsid w:val="000F6608"/>
    <w:rsid w:val="000F7834"/>
    <w:rsid w:val="000F78DE"/>
    <w:rsid w:val="000F7AE5"/>
    <w:rsid w:val="000F7BCA"/>
    <w:rsid w:val="000F7C91"/>
    <w:rsid w:val="000F7E8B"/>
    <w:rsid w:val="00100299"/>
    <w:rsid w:val="0010050A"/>
    <w:rsid w:val="001005E4"/>
    <w:rsid w:val="001007C8"/>
    <w:rsid w:val="00100804"/>
    <w:rsid w:val="001009E9"/>
    <w:rsid w:val="00100BCE"/>
    <w:rsid w:val="00100E6C"/>
    <w:rsid w:val="00100FA8"/>
    <w:rsid w:val="00100FC2"/>
    <w:rsid w:val="0010114B"/>
    <w:rsid w:val="001015E5"/>
    <w:rsid w:val="00101A24"/>
    <w:rsid w:val="00101B54"/>
    <w:rsid w:val="0010202C"/>
    <w:rsid w:val="001020C6"/>
    <w:rsid w:val="00102839"/>
    <w:rsid w:val="00102866"/>
    <w:rsid w:val="00102A49"/>
    <w:rsid w:val="00102ABA"/>
    <w:rsid w:val="00103131"/>
    <w:rsid w:val="00103333"/>
    <w:rsid w:val="0010373D"/>
    <w:rsid w:val="00103993"/>
    <w:rsid w:val="0010403D"/>
    <w:rsid w:val="001044CD"/>
    <w:rsid w:val="00104B69"/>
    <w:rsid w:val="00104BB5"/>
    <w:rsid w:val="00104FEB"/>
    <w:rsid w:val="001052D4"/>
    <w:rsid w:val="001053EA"/>
    <w:rsid w:val="001055EB"/>
    <w:rsid w:val="00105AB9"/>
    <w:rsid w:val="00105B77"/>
    <w:rsid w:val="00105FD5"/>
    <w:rsid w:val="00106116"/>
    <w:rsid w:val="00106378"/>
    <w:rsid w:val="001067C7"/>
    <w:rsid w:val="00106A72"/>
    <w:rsid w:val="00106A7B"/>
    <w:rsid w:val="001072DE"/>
    <w:rsid w:val="0010747F"/>
    <w:rsid w:val="001074ED"/>
    <w:rsid w:val="00107831"/>
    <w:rsid w:val="00107851"/>
    <w:rsid w:val="00107ABD"/>
    <w:rsid w:val="00107B13"/>
    <w:rsid w:val="00107B97"/>
    <w:rsid w:val="001102CC"/>
    <w:rsid w:val="001104C1"/>
    <w:rsid w:val="0011061E"/>
    <w:rsid w:val="0011084A"/>
    <w:rsid w:val="00110DB3"/>
    <w:rsid w:val="00110FE1"/>
    <w:rsid w:val="001112A3"/>
    <w:rsid w:val="00111C29"/>
    <w:rsid w:val="001123A5"/>
    <w:rsid w:val="00112A3B"/>
    <w:rsid w:val="00112C49"/>
    <w:rsid w:val="00112CB0"/>
    <w:rsid w:val="00112E1F"/>
    <w:rsid w:val="00112E44"/>
    <w:rsid w:val="0011302F"/>
    <w:rsid w:val="00113130"/>
    <w:rsid w:val="001131A0"/>
    <w:rsid w:val="0011361D"/>
    <w:rsid w:val="001139D4"/>
    <w:rsid w:val="00113D81"/>
    <w:rsid w:val="0011437B"/>
    <w:rsid w:val="001146D1"/>
    <w:rsid w:val="00114D59"/>
    <w:rsid w:val="00115008"/>
    <w:rsid w:val="001153CF"/>
    <w:rsid w:val="0011554B"/>
    <w:rsid w:val="001155F7"/>
    <w:rsid w:val="001157BF"/>
    <w:rsid w:val="00115805"/>
    <w:rsid w:val="001159D9"/>
    <w:rsid w:val="001159F2"/>
    <w:rsid w:val="00115BCD"/>
    <w:rsid w:val="00115C0C"/>
    <w:rsid w:val="00116514"/>
    <w:rsid w:val="00116668"/>
    <w:rsid w:val="00116B15"/>
    <w:rsid w:val="00116BF3"/>
    <w:rsid w:val="001173C3"/>
    <w:rsid w:val="001174DC"/>
    <w:rsid w:val="0011795D"/>
    <w:rsid w:val="00117E5B"/>
    <w:rsid w:val="00117FB8"/>
    <w:rsid w:val="00120792"/>
    <w:rsid w:val="001209B0"/>
    <w:rsid w:val="00120B23"/>
    <w:rsid w:val="00120B35"/>
    <w:rsid w:val="00120BF7"/>
    <w:rsid w:val="001210E8"/>
    <w:rsid w:val="001215DE"/>
    <w:rsid w:val="00121789"/>
    <w:rsid w:val="001218C3"/>
    <w:rsid w:val="001219CA"/>
    <w:rsid w:val="00121A6E"/>
    <w:rsid w:val="00121E13"/>
    <w:rsid w:val="0012224C"/>
    <w:rsid w:val="0012262A"/>
    <w:rsid w:val="00122A84"/>
    <w:rsid w:val="00122C81"/>
    <w:rsid w:val="00122D45"/>
    <w:rsid w:val="00122E23"/>
    <w:rsid w:val="001230DB"/>
    <w:rsid w:val="001232DD"/>
    <w:rsid w:val="0012398B"/>
    <w:rsid w:val="00123AFC"/>
    <w:rsid w:val="00123C0D"/>
    <w:rsid w:val="00123E67"/>
    <w:rsid w:val="001245DF"/>
    <w:rsid w:val="00124A79"/>
    <w:rsid w:val="00124EE6"/>
    <w:rsid w:val="001253F0"/>
    <w:rsid w:val="00125E07"/>
    <w:rsid w:val="00125E86"/>
    <w:rsid w:val="00126095"/>
    <w:rsid w:val="001272AF"/>
    <w:rsid w:val="0012740F"/>
    <w:rsid w:val="001278F2"/>
    <w:rsid w:val="00127A18"/>
    <w:rsid w:val="00127D55"/>
    <w:rsid w:val="00127D65"/>
    <w:rsid w:val="00127ED5"/>
    <w:rsid w:val="00130131"/>
    <w:rsid w:val="00130479"/>
    <w:rsid w:val="00130618"/>
    <w:rsid w:val="0013069C"/>
    <w:rsid w:val="0013098E"/>
    <w:rsid w:val="00130B13"/>
    <w:rsid w:val="00130EB4"/>
    <w:rsid w:val="00130F50"/>
    <w:rsid w:val="00130FCA"/>
    <w:rsid w:val="00131088"/>
    <w:rsid w:val="001312F5"/>
    <w:rsid w:val="00131838"/>
    <w:rsid w:val="00131B71"/>
    <w:rsid w:val="00132860"/>
    <w:rsid w:val="00132B7C"/>
    <w:rsid w:val="00132BB1"/>
    <w:rsid w:val="00132E54"/>
    <w:rsid w:val="00132EBF"/>
    <w:rsid w:val="00132FF8"/>
    <w:rsid w:val="00133117"/>
    <w:rsid w:val="001332AF"/>
    <w:rsid w:val="00133688"/>
    <w:rsid w:val="00133BCA"/>
    <w:rsid w:val="00134DDF"/>
    <w:rsid w:val="001353E6"/>
    <w:rsid w:val="0013551B"/>
    <w:rsid w:val="0013553F"/>
    <w:rsid w:val="00135B6D"/>
    <w:rsid w:val="00136244"/>
    <w:rsid w:val="001363B2"/>
    <w:rsid w:val="00136427"/>
    <w:rsid w:val="001368AC"/>
    <w:rsid w:val="00136A3B"/>
    <w:rsid w:val="00136B02"/>
    <w:rsid w:val="001370E0"/>
    <w:rsid w:val="0013728C"/>
    <w:rsid w:val="00137367"/>
    <w:rsid w:val="0013771D"/>
    <w:rsid w:val="00137C28"/>
    <w:rsid w:val="00137EF7"/>
    <w:rsid w:val="0014042B"/>
    <w:rsid w:val="00140520"/>
    <w:rsid w:val="00140A0A"/>
    <w:rsid w:val="00140B1C"/>
    <w:rsid w:val="00140CA1"/>
    <w:rsid w:val="00140D7C"/>
    <w:rsid w:val="0014115D"/>
    <w:rsid w:val="0014124C"/>
    <w:rsid w:val="00141344"/>
    <w:rsid w:val="00141512"/>
    <w:rsid w:val="001416D0"/>
    <w:rsid w:val="00141797"/>
    <w:rsid w:val="00141880"/>
    <w:rsid w:val="00141976"/>
    <w:rsid w:val="00141B07"/>
    <w:rsid w:val="0014200D"/>
    <w:rsid w:val="0014205F"/>
    <w:rsid w:val="001420AB"/>
    <w:rsid w:val="00142147"/>
    <w:rsid w:val="0014247A"/>
    <w:rsid w:val="00142583"/>
    <w:rsid w:val="001425C8"/>
    <w:rsid w:val="0014267D"/>
    <w:rsid w:val="001427B3"/>
    <w:rsid w:val="00143049"/>
    <w:rsid w:val="0014309A"/>
    <w:rsid w:val="00143A19"/>
    <w:rsid w:val="00144345"/>
    <w:rsid w:val="00144475"/>
    <w:rsid w:val="00144733"/>
    <w:rsid w:val="0014484D"/>
    <w:rsid w:val="00144E7D"/>
    <w:rsid w:val="001455AB"/>
    <w:rsid w:val="001457D7"/>
    <w:rsid w:val="00145948"/>
    <w:rsid w:val="001459F6"/>
    <w:rsid w:val="001461ED"/>
    <w:rsid w:val="001467A4"/>
    <w:rsid w:val="00146B56"/>
    <w:rsid w:val="00146BB5"/>
    <w:rsid w:val="0014766D"/>
    <w:rsid w:val="0014770F"/>
    <w:rsid w:val="0014777A"/>
    <w:rsid w:val="00147FD6"/>
    <w:rsid w:val="001504F1"/>
    <w:rsid w:val="00150A8A"/>
    <w:rsid w:val="00150CD8"/>
    <w:rsid w:val="00150D3E"/>
    <w:rsid w:val="00150F2C"/>
    <w:rsid w:val="00150F68"/>
    <w:rsid w:val="00150F9A"/>
    <w:rsid w:val="0015107F"/>
    <w:rsid w:val="00151796"/>
    <w:rsid w:val="00151798"/>
    <w:rsid w:val="00151C1F"/>
    <w:rsid w:val="00151ED6"/>
    <w:rsid w:val="00151FFD"/>
    <w:rsid w:val="0015235F"/>
    <w:rsid w:val="00152DF4"/>
    <w:rsid w:val="00152FA1"/>
    <w:rsid w:val="00153DCB"/>
    <w:rsid w:val="00153FD3"/>
    <w:rsid w:val="00155016"/>
    <w:rsid w:val="0015502E"/>
    <w:rsid w:val="00155134"/>
    <w:rsid w:val="00155FED"/>
    <w:rsid w:val="0015603B"/>
    <w:rsid w:val="0015614B"/>
    <w:rsid w:val="00156310"/>
    <w:rsid w:val="0015653D"/>
    <w:rsid w:val="00156641"/>
    <w:rsid w:val="00156826"/>
    <w:rsid w:val="00156CBC"/>
    <w:rsid w:val="00156CE4"/>
    <w:rsid w:val="00156D85"/>
    <w:rsid w:val="0015705E"/>
    <w:rsid w:val="00157135"/>
    <w:rsid w:val="001572B2"/>
    <w:rsid w:val="001579AF"/>
    <w:rsid w:val="00157D05"/>
    <w:rsid w:val="00160391"/>
    <w:rsid w:val="0016042B"/>
    <w:rsid w:val="001606CF"/>
    <w:rsid w:val="00160D34"/>
    <w:rsid w:val="001611CD"/>
    <w:rsid w:val="001613D9"/>
    <w:rsid w:val="001616C8"/>
    <w:rsid w:val="001617DD"/>
    <w:rsid w:val="001619D7"/>
    <w:rsid w:val="00161ABD"/>
    <w:rsid w:val="00161C85"/>
    <w:rsid w:val="00161C96"/>
    <w:rsid w:val="0016215C"/>
    <w:rsid w:val="00162505"/>
    <w:rsid w:val="0016256C"/>
    <w:rsid w:val="001625DE"/>
    <w:rsid w:val="00162858"/>
    <w:rsid w:val="001629F9"/>
    <w:rsid w:val="00162E7C"/>
    <w:rsid w:val="00164875"/>
    <w:rsid w:val="001651EE"/>
    <w:rsid w:val="0016537F"/>
    <w:rsid w:val="001655DB"/>
    <w:rsid w:val="001659E8"/>
    <w:rsid w:val="00165BFA"/>
    <w:rsid w:val="00165E72"/>
    <w:rsid w:val="00166384"/>
    <w:rsid w:val="001663B4"/>
    <w:rsid w:val="001668D9"/>
    <w:rsid w:val="0016691A"/>
    <w:rsid w:val="001670CA"/>
    <w:rsid w:val="0016723C"/>
    <w:rsid w:val="00167E21"/>
    <w:rsid w:val="00167F3C"/>
    <w:rsid w:val="0017028C"/>
    <w:rsid w:val="00170695"/>
    <w:rsid w:val="00170DB4"/>
    <w:rsid w:val="00170EC2"/>
    <w:rsid w:val="00170EFD"/>
    <w:rsid w:val="00171748"/>
    <w:rsid w:val="00171818"/>
    <w:rsid w:val="00171B4F"/>
    <w:rsid w:val="001728A8"/>
    <w:rsid w:val="00172991"/>
    <w:rsid w:val="00172CB2"/>
    <w:rsid w:val="00172D31"/>
    <w:rsid w:val="00173571"/>
    <w:rsid w:val="0017379B"/>
    <w:rsid w:val="0017437D"/>
    <w:rsid w:val="00174DAE"/>
    <w:rsid w:val="001751C0"/>
    <w:rsid w:val="00175517"/>
    <w:rsid w:val="00175B17"/>
    <w:rsid w:val="00175D4D"/>
    <w:rsid w:val="00175F33"/>
    <w:rsid w:val="00175F57"/>
    <w:rsid w:val="00176107"/>
    <w:rsid w:val="0017616F"/>
    <w:rsid w:val="001764E3"/>
    <w:rsid w:val="0017657E"/>
    <w:rsid w:val="0017686D"/>
    <w:rsid w:val="00176942"/>
    <w:rsid w:val="00176A6F"/>
    <w:rsid w:val="00176B85"/>
    <w:rsid w:val="00176DB4"/>
    <w:rsid w:val="00176ECB"/>
    <w:rsid w:val="00177AA5"/>
    <w:rsid w:val="00177C22"/>
    <w:rsid w:val="001802E6"/>
    <w:rsid w:val="00180556"/>
    <w:rsid w:val="00181124"/>
    <w:rsid w:val="0018117D"/>
    <w:rsid w:val="0018148E"/>
    <w:rsid w:val="0018155F"/>
    <w:rsid w:val="001817B4"/>
    <w:rsid w:val="00181B76"/>
    <w:rsid w:val="0018245C"/>
    <w:rsid w:val="001824BA"/>
    <w:rsid w:val="0018280F"/>
    <w:rsid w:val="00182AFF"/>
    <w:rsid w:val="00182C06"/>
    <w:rsid w:val="00182CAA"/>
    <w:rsid w:val="00182D18"/>
    <w:rsid w:val="00183707"/>
    <w:rsid w:val="00183A4E"/>
    <w:rsid w:val="00183B7D"/>
    <w:rsid w:val="001843D2"/>
    <w:rsid w:val="001847C5"/>
    <w:rsid w:val="00184F03"/>
    <w:rsid w:val="00185056"/>
    <w:rsid w:val="0018598D"/>
    <w:rsid w:val="00185A92"/>
    <w:rsid w:val="00185F32"/>
    <w:rsid w:val="001864D1"/>
    <w:rsid w:val="001866B5"/>
    <w:rsid w:val="00186782"/>
    <w:rsid w:val="00186A89"/>
    <w:rsid w:val="00186E29"/>
    <w:rsid w:val="001901DB"/>
    <w:rsid w:val="00190820"/>
    <w:rsid w:val="001909C3"/>
    <w:rsid w:val="001912CE"/>
    <w:rsid w:val="00191693"/>
    <w:rsid w:val="00191911"/>
    <w:rsid w:val="00191AEB"/>
    <w:rsid w:val="00191BEA"/>
    <w:rsid w:val="0019260C"/>
    <w:rsid w:val="001929A8"/>
    <w:rsid w:val="00192AE3"/>
    <w:rsid w:val="00192D9A"/>
    <w:rsid w:val="00192E23"/>
    <w:rsid w:val="00193375"/>
    <w:rsid w:val="0019369F"/>
    <w:rsid w:val="00193A22"/>
    <w:rsid w:val="00193E41"/>
    <w:rsid w:val="00193F75"/>
    <w:rsid w:val="001940D3"/>
    <w:rsid w:val="00194297"/>
    <w:rsid w:val="00194435"/>
    <w:rsid w:val="0019468E"/>
    <w:rsid w:val="0019479C"/>
    <w:rsid w:val="001947B1"/>
    <w:rsid w:val="00194D2B"/>
    <w:rsid w:val="00195034"/>
    <w:rsid w:val="001951E2"/>
    <w:rsid w:val="00196464"/>
    <w:rsid w:val="001967FB"/>
    <w:rsid w:val="0019691F"/>
    <w:rsid w:val="00196AB9"/>
    <w:rsid w:val="00196E84"/>
    <w:rsid w:val="0019752D"/>
    <w:rsid w:val="001A0245"/>
    <w:rsid w:val="001A04AD"/>
    <w:rsid w:val="001A07EE"/>
    <w:rsid w:val="001A08F3"/>
    <w:rsid w:val="001A0931"/>
    <w:rsid w:val="001A0A93"/>
    <w:rsid w:val="001A0B9D"/>
    <w:rsid w:val="001A0C0C"/>
    <w:rsid w:val="001A0DEE"/>
    <w:rsid w:val="001A0FE7"/>
    <w:rsid w:val="001A128B"/>
    <w:rsid w:val="001A1341"/>
    <w:rsid w:val="001A182E"/>
    <w:rsid w:val="001A1F45"/>
    <w:rsid w:val="001A1FAE"/>
    <w:rsid w:val="001A2552"/>
    <w:rsid w:val="001A27C3"/>
    <w:rsid w:val="001A2956"/>
    <w:rsid w:val="001A2B6C"/>
    <w:rsid w:val="001A2BB3"/>
    <w:rsid w:val="001A2BE7"/>
    <w:rsid w:val="001A33C4"/>
    <w:rsid w:val="001A3964"/>
    <w:rsid w:val="001A3BE1"/>
    <w:rsid w:val="001A46A1"/>
    <w:rsid w:val="001A48AF"/>
    <w:rsid w:val="001A49BF"/>
    <w:rsid w:val="001A4A0E"/>
    <w:rsid w:val="001A4A79"/>
    <w:rsid w:val="001A536E"/>
    <w:rsid w:val="001A537E"/>
    <w:rsid w:val="001A5781"/>
    <w:rsid w:val="001A591E"/>
    <w:rsid w:val="001A592C"/>
    <w:rsid w:val="001A596B"/>
    <w:rsid w:val="001A5BAA"/>
    <w:rsid w:val="001A5BDE"/>
    <w:rsid w:val="001A5EAD"/>
    <w:rsid w:val="001A6582"/>
    <w:rsid w:val="001A74F5"/>
    <w:rsid w:val="001A77B9"/>
    <w:rsid w:val="001A7FF2"/>
    <w:rsid w:val="001B04B0"/>
    <w:rsid w:val="001B0624"/>
    <w:rsid w:val="001B0E46"/>
    <w:rsid w:val="001B102D"/>
    <w:rsid w:val="001B19E7"/>
    <w:rsid w:val="001B1E74"/>
    <w:rsid w:val="001B2040"/>
    <w:rsid w:val="001B22DA"/>
    <w:rsid w:val="001B262C"/>
    <w:rsid w:val="001B34D7"/>
    <w:rsid w:val="001B3683"/>
    <w:rsid w:val="001B3688"/>
    <w:rsid w:val="001B36FA"/>
    <w:rsid w:val="001B38AA"/>
    <w:rsid w:val="001B3A10"/>
    <w:rsid w:val="001B3E25"/>
    <w:rsid w:val="001B4123"/>
    <w:rsid w:val="001B44CD"/>
    <w:rsid w:val="001B4A23"/>
    <w:rsid w:val="001B4BE0"/>
    <w:rsid w:val="001B4C4B"/>
    <w:rsid w:val="001B5023"/>
    <w:rsid w:val="001B530B"/>
    <w:rsid w:val="001B57C0"/>
    <w:rsid w:val="001B5A5C"/>
    <w:rsid w:val="001B6111"/>
    <w:rsid w:val="001B6AC4"/>
    <w:rsid w:val="001B6B7D"/>
    <w:rsid w:val="001B726E"/>
    <w:rsid w:val="001B76E7"/>
    <w:rsid w:val="001B7BDD"/>
    <w:rsid w:val="001B7C25"/>
    <w:rsid w:val="001B7C59"/>
    <w:rsid w:val="001B7D3F"/>
    <w:rsid w:val="001C00BB"/>
    <w:rsid w:val="001C00C4"/>
    <w:rsid w:val="001C046C"/>
    <w:rsid w:val="001C0623"/>
    <w:rsid w:val="001C0D6A"/>
    <w:rsid w:val="001C1297"/>
    <w:rsid w:val="001C132A"/>
    <w:rsid w:val="001C14DE"/>
    <w:rsid w:val="001C157D"/>
    <w:rsid w:val="001C1F7A"/>
    <w:rsid w:val="001C21BD"/>
    <w:rsid w:val="001C22C7"/>
    <w:rsid w:val="001C230D"/>
    <w:rsid w:val="001C29EB"/>
    <w:rsid w:val="001C3400"/>
    <w:rsid w:val="001C34DC"/>
    <w:rsid w:val="001C3628"/>
    <w:rsid w:val="001C371F"/>
    <w:rsid w:val="001C3858"/>
    <w:rsid w:val="001C3C53"/>
    <w:rsid w:val="001C417D"/>
    <w:rsid w:val="001C45F6"/>
    <w:rsid w:val="001C4BC0"/>
    <w:rsid w:val="001C4C69"/>
    <w:rsid w:val="001C4C72"/>
    <w:rsid w:val="001C57AD"/>
    <w:rsid w:val="001C5A48"/>
    <w:rsid w:val="001C5B23"/>
    <w:rsid w:val="001C5D59"/>
    <w:rsid w:val="001C5D73"/>
    <w:rsid w:val="001C5DA3"/>
    <w:rsid w:val="001C6A50"/>
    <w:rsid w:val="001C7700"/>
    <w:rsid w:val="001D0447"/>
    <w:rsid w:val="001D0614"/>
    <w:rsid w:val="001D0813"/>
    <w:rsid w:val="001D083D"/>
    <w:rsid w:val="001D09AA"/>
    <w:rsid w:val="001D115E"/>
    <w:rsid w:val="001D1522"/>
    <w:rsid w:val="001D162F"/>
    <w:rsid w:val="001D1B10"/>
    <w:rsid w:val="001D1EB2"/>
    <w:rsid w:val="001D2146"/>
    <w:rsid w:val="001D22FD"/>
    <w:rsid w:val="001D24B6"/>
    <w:rsid w:val="001D25E6"/>
    <w:rsid w:val="001D2904"/>
    <w:rsid w:val="001D2AA3"/>
    <w:rsid w:val="001D2F33"/>
    <w:rsid w:val="001D353B"/>
    <w:rsid w:val="001D35DD"/>
    <w:rsid w:val="001D360C"/>
    <w:rsid w:val="001D41B9"/>
    <w:rsid w:val="001D4287"/>
    <w:rsid w:val="001D45FD"/>
    <w:rsid w:val="001D4617"/>
    <w:rsid w:val="001D4A58"/>
    <w:rsid w:val="001D4D02"/>
    <w:rsid w:val="001D4DA8"/>
    <w:rsid w:val="001D5113"/>
    <w:rsid w:val="001D5545"/>
    <w:rsid w:val="001D59F3"/>
    <w:rsid w:val="001D5FC0"/>
    <w:rsid w:val="001D65D7"/>
    <w:rsid w:val="001D7018"/>
    <w:rsid w:val="001D70FC"/>
    <w:rsid w:val="001D7199"/>
    <w:rsid w:val="001D7293"/>
    <w:rsid w:val="001D758E"/>
    <w:rsid w:val="001D77D1"/>
    <w:rsid w:val="001D7E8B"/>
    <w:rsid w:val="001E033B"/>
    <w:rsid w:val="001E0A88"/>
    <w:rsid w:val="001E0B4D"/>
    <w:rsid w:val="001E115F"/>
    <w:rsid w:val="001E1456"/>
    <w:rsid w:val="001E14F4"/>
    <w:rsid w:val="001E16C4"/>
    <w:rsid w:val="001E216C"/>
    <w:rsid w:val="001E235F"/>
    <w:rsid w:val="001E271C"/>
    <w:rsid w:val="001E287A"/>
    <w:rsid w:val="001E2A38"/>
    <w:rsid w:val="001E2CA8"/>
    <w:rsid w:val="001E3591"/>
    <w:rsid w:val="001E3957"/>
    <w:rsid w:val="001E395E"/>
    <w:rsid w:val="001E39DA"/>
    <w:rsid w:val="001E3A86"/>
    <w:rsid w:val="001E3BA9"/>
    <w:rsid w:val="001E4205"/>
    <w:rsid w:val="001E4588"/>
    <w:rsid w:val="001E4B32"/>
    <w:rsid w:val="001E590A"/>
    <w:rsid w:val="001E622A"/>
    <w:rsid w:val="001E637F"/>
    <w:rsid w:val="001E66CA"/>
    <w:rsid w:val="001E68D1"/>
    <w:rsid w:val="001E6A4C"/>
    <w:rsid w:val="001E6A69"/>
    <w:rsid w:val="001E6B17"/>
    <w:rsid w:val="001E6CD5"/>
    <w:rsid w:val="001E6F48"/>
    <w:rsid w:val="001E718B"/>
    <w:rsid w:val="001E72DD"/>
    <w:rsid w:val="001E7F7A"/>
    <w:rsid w:val="001F024F"/>
    <w:rsid w:val="001F0AC1"/>
    <w:rsid w:val="001F0F8C"/>
    <w:rsid w:val="001F101D"/>
    <w:rsid w:val="001F133B"/>
    <w:rsid w:val="001F15F7"/>
    <w:rsid w:val="001F1C58"/>
    <w:rsid w:val="001F218E"/>
    <w:rsid w:val="001F2761"/>
    <w:rsid w:val="001F2EC4"/>
    <w:rsid w:val="001F36D5"/>
    <w:rsid w:val="001F448F"/>
    <w:rsid w:val="001F48DA"/>
    <w:rsid w:val="001F4A77"/>
    <w:rsid w:val="001F4B62"/>
    <w:rsid w:val="001F4C5F"/>
    <w:rsid w:val="001F4D13"/>
    <w:rsid w:val="001F5440"/>
    <w:rsid w:val="001F5613"/>
    <w:rsid w:val="001F5627"/>
    <w:rsid w:val="001F5AAB"/>
    <w:rsid w:val="001F5D43"/>
    <w:rsid w:val="001F62C4"/>
    <w:rsid w:val="001F6363"/>
    <w:rsid w:val="001F644D"/>
    <w:rsid w:val="001F6575"/>
    <w:rsid w:val="001F65BA"/>
    <w:rsid w:val="001F6798"/>
    <w:rsid w:val="001F6F4C"/>
    <w:rsid w:val="001F713E"/>
    <w:rsid w:val="001F75ED"/>
    <w:rsid w:val="001F77C9"/>
    <w:rsid w:val="001F79DA"/>
    <w:rsid w:val="001F7DF4"/>
    <w:rsid w:val="001F7FC7"/>
    <w:rsid w:val="00200AEC"/>
    <w:rsid w:val="00200D39"/>
    <w:rsid w:val="00200FE0"/>
    <w:rsid w:val="0020166F"/>
    <w:rsid w:val="002016A9"/>
    <w:rsid w:val="002016BC"/>
    <w:rsid w:val="002017DA"/>
    <w:rsid w:val="00201B90"/>
    <w:rsid w:val="00201D69"/>
    <w:rsid w:val="0020242B"/>
    <w:rsid w:val="00202554"/>
    <w:rsid w:val="002026CD"/>
    <w:rsid w:val="00202875"/>
    <w:rsid w:val="0020299D"/>
    <w:rsid w:val="00202A98"/>
    <w:rsid w:val="0020347C"/>
    <w:rsid w:val="00203875"/>
    <w:rsid w:val="00203A7A"/>
    <w:rsid w:val="00203D02"/>
    <w:rsid w:val="0020403E"/>
    <w:rsid w:val="00204747"/>
    <w:rsid w:val="002048B8"/>
    <w:rsid w:val="00204DBA"/>
    <w:rsid w:val="0020500C"/>
    <w:rsid w:val="0020530D"/>
    <w:rsid w:val="002054FC"/>
    <w:rsid w:val="00205BA3"/>
    <w:rsid w:val="00205C0A"/>
    <w:rsid w:val="00206298"/>
    <w:rsid w:val="00206312"/>
    <w:rsid w:val="00206501"/>
    <w:rsid w:val="00206906"/>
    <w:rsid w:val="00207200"/>
    <w:rsid w:val="0020739F"/>
    <w:rsid w:val="00207A23"/>
    <w:rsid w:val="00207C28"/>
    <w:rsid w:val="00207E11"/>
    <w:rsid w:val="00210528"/>
    <w:rsid w:val="00210973"/>
    <w:rsid w:val="002109DB"/>
    <w:rsid w:val="00210BFA"/>
    <w:rsid w:val="00210CC2"/>
    <w:rsid w:val="00210E6E"/>
    <w:rsid w:val="00211429"/>
    <w:rsid w:val="00211463"/>
    <w:rsid w:val="00211625"/>
    <w:rsid w:val="00211764"/>
    <w:rsid w:val="0021181C"/>
    <w:rsid w:val="00211C13"/>
    <w:rsid w:val="00211C56"/>
    <w:rsid w:val="00211E63"/>
    <w:rsid w:val="00211F59"/>
    <w:rsid w:val="0021207D"/>
    <w:rsid w:val="0021216B"/>
    <w:rsid w:val="00212379"/>
    <w:rsid w:val="00212A8D"/>
    <w:rsid w:val="00212D02"/>
    <w:rsid w:val="00212EF9"/>
    <w:rsid w:val="002131A9"/>
    <w:rsid w:val="002132D5"/>
    <w:rsid w:val="00213614"/>
    <w:rsid w:val="002137A1"/>
    <w:rsid w:val="002139C9"/>
    <w:rsid w:val="00213AAD"/>
    <w:rsid w:val="00213C33"/>
    <w:rsid w:val="0021411F"/>
    <w:rsid w:val="0021414A"/>
    <w:rsid w:val="00214557"/>
    <w:rsid w:val="002146DF"/>
    <w:rsid w:val="0021486B"/>
    <w:rsid w:val="00214935"/>
    <w:rsid w:val="00214FA6"/>
    <w:rsid w:val="002151D8"/>
    <w:rsid w:val="002153DE"/>
    <w:rsid w:val="002155D4"/>
    <w:rsid w:val="00215C7E"/>
    <w:rsid w:val="00215E3B"/>
    <w:rsid w:val="002168C3"/>
    <w:rsid w:val="00216A3A"/>
    <w:rsid w:val="00216C9C"/>
    <w:rsid w:val="00217235"/>
    <w:rsid w:val="00217457"/>
    <w:rsid w:val="00217B1C"/>
    <w:rsid w:val="00217ED4"/>
    <w:rsid w:val="00220709"/>
    <w:rsid w:val="00220A86"/>
    <w:rsid w:val="00220B34"/>
    <w:rsid w:val="00220B58"/>
    <w:rsid w:val="00220E1E"/>
    <w:rsid w:val="00220FB0"/>
    <w:rsid w:val="00221402"/>
    <w:rsid w:val="002219C9"/>
    <w:rsid w:val="00221EB9"/>
    <w:rsid w:val="0022220B"/>
    <w:rsid w:val="00222265"/>
    <w:rsid w:val="00222AFD"/>
    <w:rsid w:val="00223232"/>
    <w:rsid w:val="0022361C"/>
    <w:rsid w:val="002242F0"/>
    <w:rsid w:val="00224ADE"/>
    <w:rsid w:val="002250A5"/>
    <w:rsid w:val="002259B1"/>
    <w:rsid w:val="00225BE9"/>
    <w:rsid w:val="00225D5B"/>
    <w:rsid w:val="002272BC"/>
    <w:rsid w:val="00227318"/>
    <w:rsid w:val="0022742C"/>
    <w:rsid w:val="00227568"/>
    <w:rsid w:val="002276B4"/>
    <w:rsid w:val="00227D46"/>
    <w:rsid w:val="002300E6"/>
    <w:rsid w:val="00230ECC"/>
    <w:rsid w:val="00231049"/>
    <w:rsid w:val="002315A0"/>
    <w:rsid w:val="00231B8E"/>
    <w:rsid w:val="0023211E"/>
    <w:rsid w:val="002322A1"/>
    <w:rsid w:val="002322B9"/>
    <w:rsid w:val="002323BD"/>
    <w:rsid w:val="002323CD"/>
    <w:rsid w:val="002326CF"/>
    <w:rsid w:val="00232712"/>
    <w:rsid w:val="00232CAA"/>
    <w:rsid w:val="00232D73"/>
    <w:rsid w:val="00232F74"/>
    <w:rsid w:val="00232F81"/>
    <w:rsid w:val="002331A4"/>
    <w:rsid w:val="00233239"/>
    <w:rsid w:val="0023363A"/>
    <w:rsid w:val="00233713"/>
    <w:rsid w:val="002339F3"/>
    <w:rsid w:val="00233AC8"/>
    <w:rsid w:val="002341A7"/>
    <w:rsid w:val="00234250"/>
    <w:rsid w:val="00234766"/>
    <w:rsid w:val="0023495D"/>
    <w:rsid w:val="002357C0"/>
    <w:rsid w:val="00235933"/>
    <w:rsid w:val="00235A5C"/>
    <w:rsid w:val="00235AE0"/>
    <w:rsid w:val="00235BB6"/>
    <w:rsid w:val="00235C54"/>
    <w:rsid w:val="002360C0"/>
    <w:rsid w:val="00236463"/>
    <w:rsid w:val="0023658B"/>
    <w:rsid w:val="00236A2C"/>
    <w:rsid w:val="00236CD0"/>
    <w:rsid w:val="00236EA9"/>
    <w:rsid w:val="00237A53"/>
    <w:rsid w:val="00237BB7"/>
    <w:rsid w:val="002400B8"/>
    <w:rsid w:val="00240CFC"/>
    <w:rsid w:val="00240ECC"/>
    <w:rsid w:val="00240EFE"/>
    <w:rsid w:val="00240F2D"/>
    <w:rsid w:val="002410BE"/>
    <w:rsid w:val="0024118E"/>
    <w:rsid w:val="0024133F"/>
    <w:rsid w:val="002418B0"/>
    <w:rsid w:val="00241951"/>
    <w:rsid w:val="00241C9D"/>
    <w:rsid w:val="00242184"/>
    <w:rsid w:val="0024223A"/>
    <w:rsid w:val="00242491"/>
    <w:rsid w:val="00242759"/>
    <w:rsid w:val="00242F4E"/>
    <w:rsid w:val="00243BFF"/>
    <w:rsid w:val="00244346"/>
    <w:rsid w:val="002449A2"/>
    <w:rsid w:val="002449F1"/>
    <w:rsid w:val="00244E8E"/>
    <w:rsid w:val="00244F38"/>
    <w:rsid w:val="002452D7"/>
    <w:rsid w:val="00245496"/>
    <w:rsid w:val="00245546"/>
    <w:rsid w:val="00245AD1"/>
    <w:rsid w:val="00245C87"/>
    <w:rsid w:val="00245E9E"/>
    <w:rsid w:val="00246378"/>
    <w:rsid w:val="00246460"/>
    <w:rsid w:val="00246586"/>
    <w:rsid w:val="00246612"/>
    <w:rsid w:val="00246681"/>
    <w:rsid w:val="002466F9"/>
    <w:rsid w:val="002469CE"/>
    <w:rsid w:val="0024719C"/>
    <w:rsid w:val="00247301"/>
    <w:rsid w:val="0024740F"/>
    <w:rsid w:val="00247C07"/>
    <w:rsid w:val="00247C47"/>
    <w:rsid w:val="00247E3B"/>
    <w:rsid w:val="00250181"/>
    <w:rsid w:val="0025026A"/>
    <w:rsid w:val="002505C6"/>
    <w:rsid w:val="00250BD1"/>
    <w:rsid w:val="00250C85"/>
    <w:rsid w:val="00250F3F"/>
    <w:rsid w:val="00250FCD"/>
    <w:rsid w:val="0025167A"/>
    <w:rsid w:val="002519FB"/>
    <w:rsid w:val="00251A33"/>
    <w:rsid w:val="00251F70"/>
    <w:rsid w:val="002524E4"/>
    <w:rsid w:val="00252EB7"/>
    <w:rsid w:val="002533F4"/>
    <w:rsid w:val="002537C8"/>
    <w:rsid w:val="00253B08"/>
    <w:rsid w:val="00253ED8"/>
    <w:rsid w:val="00253F9F"/>
    <w:rsid w:val="00254306"/>
    <w:rsid w:val="00254405"/>
    <w:rsid w:val="00254E73"/>
    <w:rsid w:val="00254FCB"/>
    <w:rsid w:val="00255186"/>
    <w:rsid w:val="002551BE"/>
    <w:rsid w:val="002552EA"/>
    <w:rsid w:val="002556AF"/>
    <w:rsid w:val="00255994"/>
    <w:rsid w:val="00255B2D"/>
    <w:rsid w:val="00255E80"/>
    <w:rsid w:val="00255EF3"/>
    <w:rsid w:val="00256081"/>
    <w:rsid w:val="00256117"/>
    <w:rsid w:val="00256304"/>
    <w:rsid w:val="00256819"/>
    <w:rsid w:val="00256F74"/>
    <w:rsid w:val="002571F7"/>
    <w:rsid w:val="00257208"/>
    <w:rsid w:val="00257544"/>
    <w:rsid w:val="0025754F"/>
    <w:rsid w:val="0025760F"/>
    <w:rsid w:val="00257730"/>
    <w:rsid w:val="00257850"/>
    <w:rsid w:val="00257932"/>
    <w:rsid w:val="00257D34"/>
    <w:rsid w:val="002601BC"/>
    <w:rsid w:val="00260225"/>
    <w:rsid w:val="0026048E"/>
    <w:rsid w:val="0026088E"/>
    <w:rsid w:val="00260C11"/>
    <w:rsid w:val="00260EFF"/>
    <w:rsid w:val="00260F2F"/>
    <w:rsid w:val="00261048"/>
    <w:rsid w:val="002611E6"/>
    <w:rsid w:val="002615E1"/>
    <w:rsid w:val="002617F5"/>
    <w:rsid w:val="0026180F"/>
    <w:rsid w:val="00261A38"/>
    <w:rsid w:val="00261F7E"/>
    <w:rsid w:val="00262040"/>
    <w:rsid w:val="00262425"/>
    <w:rsid w:val="00262481"/>
    <w:rsid w:val="0026297D"/>
    <w:rsid w:val="00262A93"/>
    <w:rsid w:val="00262C42"/>
    <w:rsid w:val="00262E62"/>
    <w:rsid w:val="0026302B"/>
    <w:rsid w:val="00263137"/>
    <w:rsid w:val="0026381F"/>
    <w:rsid w:val="002638DA"/>
    <w:rsid w:val="00263C9D"/>
    <w:rsid w:val="00263F95"/>
    <w:rsid w:val="0026428F"/>
    <w:rsid w:val="002642B3"/>
    <w:rsid w:val="002643A9"/>
    <w:rsid w:val="00264596"/>
    <w:rsid w:val="00264C7D"/>
    <w:rsid w:val="00264EAA"/>
    <w:rsid w:val="00265284"/>
    <w:rsid w:val="002654BC"/>
    <w:rsid w:val="00265706"/>
    <w:rsid w:val="00265B21"/>
    <w:rsid w:val="00265BC8"/>
    <w:rsid w:val="002662A3"/>
    <w:rsid w:val="00266382"/>
    <w:rsid w:val="002668FA"/>
    <w:rsid w:val="00266A6A"/>
    <w:rsid w:val="0026705F"/>
    <w:rsid w:val="002670AC"/>
    <w:rsid w:val="00267CB6"/>
    <w:rsid w:val="00267D86"/>
    <w:rsid w:val="00270209"/>
    <w:rsid w:val="002708AB"/>
    <w:rsid w:val="00270B31"/>
    <w:rsid w:val="0027104C"/>
    <w:rsid w:val="002719ED"/>
    <w:rsid w:val="0027201D"/>
    <w:rsid w:val="00272092"/>
    <w:rsid w:val="00272990"/>
    <w:rsid w:val="00272E6F"/>
    <w:rsid w:val="00273302"/>
    <w:rsid w:val="00273584"/>
    <w:rsid w:val="002735A5"/>
    <w:rsid w:val="002739A0"/>
    <w:rsid w:val="00273EFD"/>
    <w:rsid w:val="0027402D"/>
    <w:rsid w:val="002742AF"/>
    <w:rsid w:val="00274358"/>
    <w:rsid w:val="0027446C"/>
    <w:rsid w:val="002744BC"/>
    <w:rsid w:val="002746F8"/>
    <w:rsid w:val="002749D3"/>
    <w:rsid w:val="00274B24"/>
    <w:rsid w:val="00274B99"/>
    <w:rsid w:val="00275046"/>
    <w:rsid w:val="00275144"/>
    <w:rsid w:val="002751B8"/>
    <w:rsid w:val="00275365"/>
    <w:rsid w:val="0027558F"/>
    <w:rsid w:val="0027561E"/>
    <w:rsid w:val="0027563A"/>
    <w:rsid w:val="00275DF8"/>
    <w:rsid w:val="00275EEB"/>
    <w:rsid w:val="002760B2"/>
    <w:rsid w:val="00276150"/>
    <w:rsid w:val="002762DF"/>
    <w:rsid w:val="00276666"/>
    <w:rsid w:val="002766B5"/>
    <w:rsid w:val="002768A0"/>
    <w:rsid w:val="00277487"/>
    <w:rsid w:val="00277751"/>
    <w:rsid w:val="00277AD9"/>
    <w:rsid w:val="00277D0C"/>
    <w:rsid w:val="0028000D"/>
    <w:rsid w:val="002800C6"/>
    <w:rsid w:val="0028018C"/>
    <w:rsid w:val="002803AE"/>
    <w:rsid w:val="00280B7E"/>
    <w:rsid w:val="00280FC3"/>
    <w:rsid w:val="002810A8"/>
    <w:rsid w:val="0028154F"/>
    <w:rsid w:val="00281750"/>
    <w:rsid w:val="00281989"/>
    <w:rsid w:val="002822A1"/>
    <w:rsid w:val="0028259A"/>
    <w:rsid w:val="0028273E"/>
    <w:rsid w:val="00282957"/>
    <w:rsid w:val="00282C8C"/>
    <w:rsid w:val="00282E87"/>
    <w:rsid w:val="00282FAC"/>
    <w:rsid w:val="00283448"/>
    <w:rsid w:val="00283FBA"/>
    <w:rsid w:val="00284267"/>
    <w:rsid w:val="00284766"/>
    <w:rsid w:val="00284891"/>
    <w:rsid w:val="002848B9"/>
    <w:rsid w:val="002848FD"/>
    <w:rsid w:val="00284C56"/>
    <w:rsid w:val="00284CFD"/>
    <w:rsid w:val="00284DBD"/>
    <w:rsid w:val="00284EA2"/>
    <w:rsid w:val="0028534B"/>
    <w:rsid w:val="00285880"/>
    <w:rsid w:val="00285C98"/>
    <w:rsid w:val="00285F91"/>
    <w:rsid w:val="00285FB0"/>
    <w:rsid w:val="002860FE"/>
    <w:rsid w:val="00286539"/>
    <w:rsid w:val="002866C3"/>
    <w:rsid w:val="00286FEF"/>
    <w:rsid w:val="00287116"/>
    <w:rsid w:val="002872FE"/>
    <w:rsid w:val="002874A1"/>
    <w:rsid w:val="002877B8"/>
    <w:rsid w:val="002878E2"/>
    <w:rsid w:val="002879DC"/>
    <w:rsid w:val="00287B6C"/>
    <w:rsid w:val="002902FC"/>
    <w:rsid w:val="0029094D"/>
    <w:rsid w:val="00290A60"/>
    <w:rsid w:val="00290D72"/>
    <w:rsid w:val="0029122E"/>
    <w:rsid w:val="002914DA"/>
    <w:rsid w:val="0029173E"/>
    <w:rsid w:val="0029262D"/>
    <w:rsid w:val="0029264F"/>
    <w:rsid w:val="0029276D"/>
    <w:rsid w:val="00292D15"/>
    <w:rsid w:val="00292DF5"/>
    <w:rsid w:val="00292E77"/>
    <w:rsid w:val="00293580"/>
    <w:rsid w:val="00293A2E"/>
    <w:rsid w:val="00293BC1"/>
    <w:rsid w:val="00293CB9"/>
    <w:rsid w:val="00293D07"/>
    <w:rsid w:val="0029404D"/>
    <w:rsid w:val="002942AC"/>
    <w:rsid w:val="00294739"/>
    <w:rsid w:val="00294800"/>
    <w:rsid w:val="00294906"/>
    <w:rsid w:val="0029493E"/>
    <w:rsid w:val="00295730"/>
    <w:rsid w:val="00295803"/>
    <w:rsid w:val="00295B08"/>
    <w:rsid w:val="00295E97"/>
    <w:rsid w:val="00295EBC"/>
    <w:rsid w:val="0029609A"/>
    <w:rsid w:val="00296131"/>
    <w:rsid w:val="00296218"/>
    <w:rsid w:val="002962E1"/>
    <w:rsid w:val="0029632E"/>
    <w:rsid w:val="0029636B"/>
    <w:rsid w:val="0029663D"/>
    <w:rsid w:val="00296819"/>
    <w:rsid w:val="00296B4D"/>
    <w:rsid w:val="00296D0A"/>
    <w:rsid w:val="00297127"/>
    <w:rsid w:val="0029720C"/>
    <w:rsid w:val="002974DE"/>
    <w:rsid w:val="00297C11"/>
    <w:rsid w:val="002A02C7"/>
    <w:rsid w:val="002A0643"/>
    <w:rsid w:val="002A11F3"/>
    <w:rsid w:val="002A16BC"/>
    <w:rsid w:val="002A1906"/>
    <w:rsid w:val="002A1CDD"/>
    <w:rsid w:val="002A2024"/>
    <w:rsid w:val="002A203E"/>
    <w:rsid w:val="002A2147"/>
    <w:rsid w:val="002A2214"/>
    <w:rsid w:val="002A2855"/>
    <w:rsid w:val="002A2C3B"/>
    <w:rsid w:val="002A2E47"/>
    <w:rsid w:val="002A2E5C"/>
    <w:rsid w:val="002A30C5"/>
    <w:rsid w:val="002A3128"/>
    <w:rsid w:val="002A314C"/>
    <w:rsid w:val="002A3460"/>
    <w:rsid w:val="002A3CB8"/>
    <w:rsid w:val="002A3E4E"/>
    <w:rsid w:val="002A3EC2"/>
    <w:rsid w:val="002A4959"/>
    <w:rsid w:val="002A4C85"/>
    <w:rsid w:val="002A4FED"/>
    <w:rsid w:val="002A506D"/>
    <w:rsid w:val="002A570B"/>
    <w:rsid w:val="002A57C4"/>
    <w:rsid w:val="002A5E82"/>
    <w:rsid w:val="002A6315"/>
    <w:rsid w:val="002A6392"/>
    <w:rsid w:val="002A670E"/>
    <w:rsid w:val="002A6B2A"/>
    <w:rsid w:val="002A6C03"/>
    <w:rsid w:val="002A6DEE"/>
    <w:rsid w:val="002A6ECE"/>
    <w:rsid w:val="002A73B6"/>
    <w:rsid w:val="002A7623"/>
    <w:rsid w:val="002A7CDA"/>
    <w:rsid w:val="002A7E09"/>
    <w:rsid w:val="002B0694"/>
    <w:rsid w:val="002B0852"/>
    <w:rsid w:val="002B0880"/>
    <w:rsid w:val="002B10B8"/>
    <w:rsid w:val="002B1602"/>
    <w:rsid w:val="002B1EF2"/>
    <w:rsid w:val="002B22BF"/>
    <w:rsid w:val="002B2348"/>
    <w:rsid w:val="002B24C5"/>
    <w:rsid w:val="002B28A5"/>
    <w:rsid w:val="002B28E4"/>
    <w:rsid w:val="002B2971"/>
    <w:rsid w:val="002B2B38"/>
    <w:rsid w:val="002B2B57"/>
    <w:rsid w:val="002B2C8A"/>
    <w:rsid w:val="002B2D88"/>
    <w:rsid w:val="002B2E70"/>
    <w:rsid w:val="002B2F27"/>
    <w:rsid w:val="002B2F58"/>
    <w:rsid w:val="002B30BD"/>
    <w:rsid w:val="002B33A1"/>
    <w:rsid w:val="002B33E3"/>
    <w:rsid w:val="002B3413"/>
    <w:rsid w:val="002B3811"/>
    <w:rsid w:val="002B3B12"/>
    <w:rsid w:val="002B3C0E"/>
    <w:rsid w:val="002B3D48"/>
    <w:rsid w:val="002B4102"/>
    <w:rsid w:val="002B4156"/>
    <w:rsid w:val="002B454B"/>
    <w:rsid w:val="002B479E"/>
    <w:rsid w:val="002B4A73"/>
    <w:rsid w:val="002B4B24"/>
    <w:rsid w:val="002B54DE"/>
    <w:rsid w:val="002B5A6B"/>
    <w:rsid w:val="002B5B83"/>
    <w:rsid w:val="002B5E01"/>
    <w:rsid w:val="002B5E63"/>
    <w:rsid w:val="002B63D9"/>
    <w:rsid w:val="002B65C8"/>
    <w:rsid w:val="002B67B5"/>
    <w:rsid w:val="002B6A92"/>
    <w:rsid w:val="002B6D44"/>
    <w:rsid w:val="002B6E8E"/>
    <w:rsid w:val="002B71B3"/>
    <w:rsid w:val="002B723F"/>
    <w:rsid w:val="002B7460"/>
    <w:rsid w:val="002B7D68"/>
    <w:rsid w:val="002C00FB"/>
    <w:rsid w:val="002C014E"/>
    <w:rsid w:val="002C01EB"/>
    <w:rsid w:val="002C0289"/>
    <w:rsid w:val="002C03E2"/>
    <w:rsid w:val="002C04C5"/>
    <w:rsid w:val="002C0575"/>
    <w:rsid w:val="002C0A13"/>
    <w:rsid w:val="002C0B17"/>
    <w:rsid w:val="002C0CF1"/>
    <w:rsid w:val="002C0D99"/>
    <w:rsid w:val="002C13B8"/>
    <w:rsid w:val="002C1663"/>
    <w:rsid w:val="002C18F3"/>
    <w:rsid w:val="002C1A4D"/>
    <w:rsid w:val="002C1F16"/>
    <w:rsid w:val="002C2349"/>
    <w:rsid w:val="002C23FD"/>
    <w:rsid w:val="002C2C18"/>
    <w:rsid w:val="002C3119"/>
    <w:rsid w:val="002C33F2"/>
    <w:rsid w:val="002C4138"/>
    <w:rsid w:val="002C432E"/>
    <w:rsid w:val="002C4D6F"/>
    <w:rsid w:val="002C50F0"/>
    <w:rsid w:val="002C51B1"/>
    <w:rsid w:val="002C52F1"/>
    <w:rsid w:val="002C582C"/>
    <w:rsid w:val="002C5916"/>
    <w:rsid w:val="002C5B13"/>
    <w:rsid w:val="002C614B"/>
    <w:rsid w:val="002C672A"/>
    <w:rsid w:val="002C6862"/>
    <w:rsid w:val="002C68FC"/>
    <w:rsid w:val="002C6920"/>
    <w:rsid w:val="002C69AC"/>
    <w:rsid w:val="002C69B8"/>
    <w:rsid w:val="002C6A12"/>
    <w:rsid w:val="002C6ADB"/>
    <w:rsid w:val="002C6E5B"/>
    <w:rsid w:val="002C7C21"/>
    <w:rsid w:val="002C7C3B"/>
    <w:rsid w:val="002C7CDC"/>
    <w:rsid w:val="002C7CFA"/>
    <w:rsid w:val="002D028C"/>
    <w:rsid w:val="002D032C"/>
    <w:rsid w:val="002D0497"/>
    <w:rsid w:val="002D0A21"/>
    <w:rsid w:val="002D0E1C"/>
    <w:rsid w:val="002D1051"/>
    <w:rsid w:val="002D15BE"/>
    <w:rsid w:val="002D1773"/>
    <w:rsid w:val="002D17AE"/>
    <w:rsid w:val="002D19B2"/>
    <w:rsid w:val="002D1DBA"/>
    <w:rsid w:val="002D1F25"/>
    <w:rsid w:val="002D1F50"/>
    <w:rsid w:val="002D22B5"/>
    <w:rsid w:val="002D26C8"/>
    <w:rsid w:val="002D287C"/>
    <w:rsid w:val="002D2AD9"/>
    <w:rsid w:val="002D2B3F"/>
    <w:rsid w:val="002D2CED"/>
    <w:rsid w:val="002D2F47"/>
    <w:rsid w:val="002D3735"/>
    <w:rsid w:val="002D38F9"/>
    <w:rsid w:val="002D3D1F"/>
    <w:rsid w:val="002D3D38"/>
    <w:rsid w:val="002D3E9F"/>
    <w:rsid w:val="002D3F79"/>
    <w:rsid w:val="002D46C9"/>
    <w:rsid w:val="002D4797"/>
    <w:rsid w:val="002D4C52"/>
    <w:rsid w:val="002D4D92"/>
    <w:rsid w:val="002D4F12"/>
    <w:rsid w:val="002D4F37"/>
    <w:rsid w:val="002D5070"/>
    <w:rsid w:val="002D5230"/>
    <w:rsid w:val="002D53B8"/>
    <w:rsid w:val="002D5502"/>
    <w:rsid w:val="002D5598"/>
    <w:rsid w:val="002D572C"/>
    <w:rsid w:val="002D5868"/>
    <w:rsid w:val="002D5C8C"/>
    <w:rsid w:val="002D5D13"/>
    <w:rsid w:val="002D64D8"/>
    <w:rsid w:val="002D66CE"/>
    <w:rsid w:val="002D685B"/>
    <w:rsid w:val="002D6A68"/>
    <w:rsid w:val="002D6D40"/>
    <w:rsid w:val="002D7358"/>
    <w:rsid w:val="002D73B8"/>
    <w:rsid w:val="002D751A"/>
    <w:rsid w:val="002D758B"/>
    <w:rsid w:val="002D7898"/>
    <w:rsid w:val="002D7949"/>
    <w:rsid w:val="002D796D"/>
    <w:rsid w:val="002D7B18"/>
    <w:rsid w:val="002D7B2E"/>
    <w:rsid w:val="002D7C42"/>
    <w:rsid w:val="002D7CDA"/>
    <w:rsid w:val="002D7FE2"/>
    <w:rsid w:val="002E017A"/>
    <w:rsid w:val="002E0426"/>
    <w:rsid w:val="002E0BEA"/>
    <w:rsid w:val="002E0E14"/>
    <w:rsid w:val="002E19BA"/>
    <w:rsid w:val="002E1B5C"/>
    <w:rsid w:val="002E1D34"/>
    <w:rsid w:val="002E1E5B"/>
    <w:rsid w:val="002E2001"/>
    <w:rsid w:val="002E20F8"/>
    <w:rsid w:val="002E282A"/>
    <w:rsid w:val="002E2C99"/>
    <w:rsid w:val="002E3269"/>
    <w:rsid w:val="002E366C"/>
    <w:rsid w:val="002E3B75"/>
    <w:rsid w:val="002E3EEE"/>
    <w:rsid w:val="002E4500"/>
    <w:rsid w:val="002E486B"/>
    <w:rsid w:val="002E4957"/>
    <w:rsid w:val="002E4A2B"/>
    <w:rsid w:val="002E5203"/>
    <w:rsid w:val="002E539E"/>
    <w:rsid w:val="002E5A68"/>
    <w:rsid w:val="002E5C82"/>
    <w:rsid w:val="002E5F87"/>
    <w:rsid w:val="002E634B"/>
    <w:rsid w:val="002E647E"/>
    <w:rsid w:val="002E6584"/>
    <w:rsid w:val="002E6A68"/>
    <w:rsid w:val="002E74DB"/>
    <w:rsid w:val="002E7D25"/>
    <w:rsid w:val="002E7E6F"/>
    <w:rsid w:val="002F040C"/>
    <w:rsid w:val="002F0523"/>
    <w:rsid w:val="002F0D54"/>
    <w:rsid w:val="002F1A8D"/>
    <w:rsid w:val="002F1F0B"/>
    <w:rsid w:val="002F2259"/>
    <w:rsid w:val="002F2364"/>
    <w:rsid w:val="002F2777"/>
    <w:rsid w:val="002F2825"/>
    <w:rsid w:val="002F28E0"/>
    <w:rsid w:val="002F2DD9"/>
    <w:rsid w:val="002F3022"/>
    <w:rsid w:val="002F336B"/>
    <w:rsid w:val="002F38C6"/>
    <w:rsid w:val="002F3A99"/>
    <w:rsid w:val="002F3B18"/>
    <w:rsid w:val="002F3D87"/>
    <w:rsid w:val="002F3DB4"/>
    <w:rsid w:val="002F3ED6"/>
    <w:rsid w:val="002F4445"/>
    <w:rsid w:val="002F4520"/>
    <w:rsid w:val="002F4550"/>
    <w:rsid w:val="002F461C"/>
    <w:rsid w:val="002F48A3"/>
    <w:rsid w:val="002F4A37"/>
    <w:rsid w:val="002F4FC2"/>
    <w:rsid w:val="002F50B5"/>
    <w:rsid w:val="002F5478"/>
    <w:rsid w:val="002F58A3"/>
    <w:rsid w:val="002F58DB"/>
    <w:rsid w:val="002F6011"/>
    <w:rsid w:val="002F619A"/>
    <w:rsid w:val="002F64EB"/>
    <w:rsid w:val="002F6829"/>
    <w:rsid w:val="002F68DB"/>
    <w:rsid w:val="002F6AAE"/>
    <w:rsid w:val="002F6DA4"/>
    <w:rsid w:val="002F6ECB"/>
    <w:rsid w:val="002F7058"/>
    <w:rsid w:val="002F716A"/>
    <w:rsid w:val="002F7334"/>
    <w:rsid w:val="002F775D"/>
    <w:rsid w:val="002F77B7"/>
    <w:rsid w:val="002F7A2D"/>
    <w:rsid w:val="00300211"/>
    <w:rsid w:val="003005D9"/>
    <w:rsid w:val="00300A37"/>
    <w:rsid w:val="00300D17"/>
    <w:rsid w:val="0030134B"/>
    <w:rsid w:val="00301674"/>
    <w:rsid w:val="0030184D"/>
    <w:rsid w:val="00301A76"/>
    <w:rsid w:val="00301C91"/>
    <w:rsid w:val="00301E14"/>
    <w:rsid w:val="0030208B"/>
    <w:rsid w:val="0030287F"/>
    <w:rsid w:val="00302C88"/>
    <w:rsid w:val="00303ECB"/>
    <w:rsid w:val="00304290"/>
    <w:rsid w:val="0030448D"/>
    <w:rsid w:val="003044CF"/>
    <w:rsid w:val="00304AC6"/>
    <w:rsid w:val="00304BE6"/>
    <w:rsid w:val="00304CB3"/>
    <w:rsid w:val="00305096"/>
    <w:rsid w:val="00305EF2"/>
    <w:rsid w:val="003063AE"/>
    <w:rsid w:val="00306400"/>
    <w:rsid w:val="0030674F"/>
    <w:rsid w:val="0030712B"/>
    <w:rsid w:val="00307A20"/>
    <w:rsid w:val="00307B45"/>
    <w:rsid w:val="00307CF2"/>
    <w:rsid w:val="00307DEB"/>
    <w:rsid w:val="00310198"/>
    <w:rsid w:val="0031034A"/>
    <w:rsid w:val="003104E6"/>
    <w:rsid w:val="00310958"/>
    <w:rsid w:val="00310AB0"/>
    <w:rsid w:val="00310C66"/>
    <w:rsid w:val="00310D49"/>
    <w:rsid w:val="00310EAC"/>
    <w:rsid w:val="00311082"/>
    <w:rsid w:val="00311133"/>
    <w:rsid w:val="0031120A"/>
    <w:rsid w:val="003116D8"/>
    <w:rsid w:val="003119E2"/>
    <w:rsid w:val="003120DE"/>
    <w:rsid w:val="0031219B"/>
    <w:rsid w:val="00312490"/>
    <w:rsid w:val="003126D9"/>
    <w:rsid w:val="0031294F"/>
    <w:rsid w:val="00312BC6"/>
    <w:rsid w:val="00312CEF"/>
    <w:rsid w:val="00313366"/>
    <w:rsid w:val="003136CC"/>
    <w:rsid w:val="003136E2"/>
    <w:rsid w:val="003137EE"/>
    <w:rsid w:val="00313BCC"/>
    <w:rsid w:val="00313C1D"/>
    <w:rsid w:val="00313C48"/>
    <w:rsid w:val="00313E72"/>
    <w:rsid w:val="0031404D"/>
    <w:rsid w:val="0031417F"/>
    <w:rsid w:val="0031462A"/>
    <w:rsid w:val="00314999"/>
    <w:rsid w:val="00314BA3"/>
    <w:rsid w:val="003150FC"/>
    <w:rsid w:val="0031544B"/>
    <w:rsid w:val="003155BF"/>
    <w:rsid w:val="00315683"/>
    <w:rsid w:val="00315B2C"/>
    <w:rsid w:val="00316752"/>
    <w:rsid w:val="003168A4"/>
    <w:rsid w:val="00316991"/>
    <w:rsid w:val="00316A4A"/>
    <w:rsid w:val="00316FBA"/>
    <w:rsid w:val="00317045"/>
    <w:rsid w:val="003170F5"/>
    <w:rsid w:val="00317A66"/>
    <w:rsid w:val="00317B0A"/>
    <w:rsid w:val="00317B32"/>
    <w:rsid w:val="003200C9"/>
    <w:rsid w:val="003202C4"/>
    <w:rsid w:val="00320338"/>
    <w:rsid w:val="00320637"/>
    <w:rsid w:val="003206E8"/>
    <w:rsid w:val="00320A33"/>
    <w:rsid w:val="0032104B"/>
    <w:rsid w:val="003212DB"/>
    <w:rsid w:val="003215E1"/>
    <w:rsid w:val="00321751"/>
    <w:rsid w:val="003217BA"/>
    <w:rsid w:val="0032183A"/>
    <w:rsid w:val="00321A80"/>
    <w:rsid w:val="00321BBA"/>
    <w:rsid w:val="00321C1B"/>
    <w:rsid w:val="00321C1F"/>
    <w:rsid w:val="00321DFE"/>
    <w:rsid w:val="0032202B"/>
    <w:rsid w:val="003220F1"/>
    <w:rsid w:val="00322377"/>
    <w:rsid w:val="003223DE"/>
    <w:rsid w:val="0032248F"/>
    <w:rsid w:val="00322780"/>
    <w:rsid w:val="00322D9E"/>
    <w:rsid w:val="00322DAB"/>
    <w:rsid w:val="00322DD8"/>
    <w:rsid w:val="00322EC1"/>
    <w:rsid w:val="003230AD"/>
    <w:rsid w:val="0032326F"/>
    <w:rsid w:val="00323846"/>
    <w:rsid w:val="00323FAD"/>
    <w:rsid w:val="003242C1"/>
    <w:rsid w:val="0032456C"/>
    <w:rsid w:val="003245FC"/>
    <w:rsid w:val="003246D9"/>
    <w:rsid w:val="00324904"/>
    <w:rsid w:val="00324A91"/>
    <w:rsid w:val="00324B2A"/>
    <w:rsid w:val="00324C64"/>
    <w:rsid w:val="00324C80"/>
    <w:rsid w:val="00324DCE"/>
    <w:rsid w:val="00324E40"/>
    <w:rsid w:val="0032505F"/>
    <w:rsid w:val="00325243"/>
    <w:rsid w:val="00325447"/>
    <w:rsid w:val="003255EB"/>
    <w:rsid w:val="00325656"/>
    <w:rsid w:val="00325D2C"/>
    <w:rsid w:val="00325EEF"/>
    <w:rsid w:val="00326211"/>
    <w:rsid w:val="003263F3"/>
    <w:rsid w:val="00326642"/>
    <w:rsid w:val="00326698"/>
    <w:rsid w:val="00326DF4"/>
    <w:rsid w:val="00326E09"/>
    <w:rsid w:val="00327254"/>
    <w:rsid w:val="0032730F"/>
    <w:rsid w:val="0032779E"/>
    <w:rsid w:val="00330188"/>
    <w:rsid w:val="003306B6"/>
    <w:rsid w:val="00330802"/>
    <w:rsid w:val="003309DE"/>
    <w:rsid w:val="00330ACF"/>
    <w:rsid w:val="00330BE7"/>
    <w:rsid w:val="00330C47"/>
    <w:rsid w:val="00330D6E"/>
    <w:rsid w:val="00330F87"/>
    <w:rsid w:val="00330FFD"/>
    <w:rsid w:val="003310E2"/>
    <w:rsid w:val="003318DD"/>
    <w:rsid w:val="003321B5"/>
    <w:rsid w:val="00332326"/>
    <w:rsid w:val="003324C6"/>
    <w:rsid w:val="00332B1F"/>
    <w:rsid w:val="00333022"/>
    <w:rsid w:val="003330C4"/>
    <w:rsid w:val="003331D2"/>
    <w:rsid w:val="0033323B"/>
    <w:rsid w:val="003334B0"/>
    <w:rsid w:val="003340D7"/>
    <w:rsid w:val="00334193"/>
    <w:rsid w:val="003341CB"/>
    <w:rsid w:val="003341FF"/>
    <w:rsid w:val="003347A6"/>
    <w:rsid w:val="00334809"/>
    <w:rsid w:val="0033496B"/>
    <w:rsid w:val="00334B1E"/>
    <w:rsid w:val="00334D94"/>
    <w:rsid w:val="00335148"/>
    <w:rsid w:val="003355D2"/>
    <w:rsid w:val="0033573F"/>
    <w:rsid w:val="00335898"/>
    <w:rsid w:val="0033595D"/>
    <w:rsid w:val="00335F57"/>
    <w:rsid w:val="003361A5"/>
    <w:rsid w:val="00336823"/>
    <w:rsid w:val="00336B12"/>
    <w:rsid w:val="00336FF1"/>
    <w:rsid w:val="00337130"/>
    <w:rsid w:val="0033735A"/>
    <w:rsid w:val="00337661"/>
    <w:rsid w:val="00337928"/>
    <w:rsid w:val="00337967"/>
    <w:rsid w:val="00337BBF"/>
    <w:rsid w:val="00340053"/>
    <w:rsid w:val="003401F8"/>
    <w:rsid w:val="00340385"/>
    <w:rsid w:val="003404AD"/>
    <w:rsid w:val="0034053B"/>
    <w:rsid w:val="00340649"/>
    <w:rsid w:val="00340E74"/>
    <w:rsid w:val="0034131E"/>
    <w:rsid w:val="00341566"/>
    <w:rsid w:val="00341709"/>
    <w:rsid w:val="00341AC1"/>
    <w:rsid w:val="00341CF5"/>
    <w:rsid w:val="00342E19"/>
    <w:rsid w:val="00342F71"/>
    <w:rsid w:val="00343173"/>
    <w:rsid w:val="003431C8"/>
    <w:rsid w:val="003437EE"/>
    <w:rsid w:val="0034396B"/>
    <w:rsid w:val="00343CA0"/>
    <w:rsid w:val="00343D42"/>
    <w:rsid w:val="00343DF5"/>
    <w:rsid w:val="00344134"/>
    <w:rsid w:val="003441FC"/>
    <w:rsid w:val="0034455A"/>
    <w:rsid w:val="003445A7"/>
    <w:rsid w:val="00344CCA"/>
    <w:rsid w:val="0034534B"/>
    <w:rsid w:val="003455A3"/>
    <w:rsid w:val="00345892"/>
    <w:rsid w:val="00345CC1"/>
    <w:rsid w:val="003463DF"/>
    <w:rsid w:val="00346BEF"/>
    <w:rsid w:val="003472D0"/>
    <w:rsid w:val="00347391"/>
    <w:rsid w:val="003479C9"/>
    <w:rsid w:val="00347A6C"/>
    <w:rsid w:val="00347B86"/>
    <w:rsid w:val="00347C10"/>
    <w:rsid w:val="00347D89"/>
    <w:rsid w:val="00347E40"/>
    <w:rsid w:val="0035031A"/>
    <w:rsid w:val="003503FD"/>
    <w:rsid w:val="003504A1"/>
    <w:rsid w:val="0035069D"/>
    <w:rsid w:val="00350801"/>
    <w:rsid w:val="00350B44"/>
    <w:rsid w:val="00350CD7"/>
    <w:rsid w:val="00350ED6"/>
    <w:rsid w:val="00350EF8"/>
    <w:rsid w:val="003510B0"/>
    <w:rsid w:val="003513DC"/>
    <w:rsid w:val="00351461"/>
    <w:rsid w:val="003515A4"/>
    <w:rsid w:val="00351CEB"/>
    <w:rsid w:val="00351D25"/>
    <w:rsid w:val="0035244F"/>
    <w:rsid w:val="003525AA"/>
    <w:rsid w:val="00353223"/>
    <w:rsid w:val="003543CA"/>
    <w:rsid w:val="00354642"/>
    <w:rsid w:val="00354D7C"/>
    <w:rsid w:val="00354D7E"/>
    <w:rsid w:val="00354F04"/>
    <w:rsid w:val="003551CD"/>
    <w:rsid w:val="00355296"/>
    <w:rsid w:val="003553CC"/>
    <w:rsid w:val="00355499"/>
    <w:rsid w:val="00355A6C"/>
    <w:rsid w:val="00356EC9"/>
    <w:rsid w:val="00357418"/>
    <w:rsid w:val="003576C8"/>
    <w:rsid w:val="0035777F"/>
    <w:rsid w:val="00357795"/>
    <w:rsid w:val="00357E00"/>
    <w:rsid w:val="0036005E"/>
    <w:rsid w:val="00360116"/>
    <w:rsid w:val="00360362"/>
    <w:rsid w:val="0036053C"/>
    <w:rsid w:val="003605B7"/>
    <w:rsid w:val="00360AEA"/>
    <w:rsid w:val="00360C1E"/>
    <w:rsid w:val="00360ED7"/>
    <w:rsid w:val="00360EE4"/>
    <w:rsid w:val="003612D6"/>
    <w:rsid w:val="003614A8"/>
    <w:rsid w:val="00361637"/>
    <w:rsid w:val="0036172F"/>
    <w:rsid w:val="003617EF"/>
    <w:rsid w:val="00361FC2"/>
    <w:rsid w:val="00362004"/>
    <w:rsid w:val="0036248F"/>
    <w:rsid w:val="00362780"/>
    <w:rsid w:val="003631F4"/>
    <w:rsid w:val="0036332A"/>
    <w:rsid w:val="0036367E"/>
    <w:rsid w:val="0036371D"/>
    <w:rsid w:val="00363DC5"/>
    <w:rsid w:val="003641BA"/>
    <w:rsid w:val="00364523"/>
    <w:rsid w:val="003647AB"/>
    <w:rsid w:val="00364AAA"/>
    <w:rsid w:val="00364AC5"/>
    <w:rsid w:val="00364F58"/>
    <w:rsid w:val="00365484"/>
    <w:rsid w:val="00365D29"/>
    <w:rsid w:val="003663F4"/>
    <w:rsid w:val="0036690F"/>
    <w:rsid w:val="00367013"/>
    <w:rsid w:val="003672B9"/>
    <w:rsid w:val="00367A8F"/>
    <w:rsid w:val="00367AAB"/>
    <w:rsid w:val="00367C7B"/>
    <w:rsid w:val="003705F1"/>
    <w:rsid w:val="003709A9"/>
    <w:rsid w:val="00370A08"/>
    <w:rsid w:val="00370EC3"/>
    <w:rsid w:val="00370EF7"/>
    <w:rsid w:val="00370F11"/>
    <w:rsid w:val="00370FA1"/>
    <w:rsid w:val="003715B6"/>
    <w:rsid w:val="0037167B"/>
    <w:rsid w:val="003717D2"/>
    <w:rsid w:val="0037189F"/>
    <w:rsid w:val="0037190B"/>
    <w:rsid w:val="00371E11"/>
    <w:rsid w:val="00371E1C"/>
    <w:rsid w:val="00371FB6"/>
    <w:rsid w:val="00372167"/>
    <w:rsid w:val="0037273D"/>
    <w:rsid w:val="0037283D"/>
    <w:rsid w:val="00372927"/>
    <w:rsid w:val="00372968"/>
    <w:rsid w:val="00373055"/>
    <w:rsid w:val="00373056"/>
    <w:rsid w:val="003735AC"/>
    <w:rsid w:val="0037387C"/>
    <w:rsid w:val="00373A75"/>
    <w:rsid w:val="00374AA6"/>
    <w:rsid w:val="00374EAD"/>
    <w:rsid w:val="00374F27"/>
    <w:rsid w:val="003754FD"/>
    <w:rsid w:val="00376291"/>
    <w:rsid w:val="0037647D"/>
    <w:rsid w:val="0037649D"/>
    <w:rsid w:val="003764AC"/>
    <w:rsid w:val="00376DD3"/>
    <w:rsid w:val="00376E89"/>
    <w:rsid w:val="0037711D"/>
    <w:rsid w:val="00377152"/>
    <w:rsid w:val="00377262"/>
    <w:rsid w:val="003772F2"/>
    <w:rsid w:val="00377A30"/>
    <w:rsid w:val="00377BE2"/>
    <w:rsid w:val="00377EAC"/>
    <w:rsid w:val="0038015D"/>
    <w:rsid w:val="0038035E"/>
    <w:rsid w:val="003803F0"/>
    <w:rsid w:val="003806F0"/>
    <w:rsid w:val="00380BF2"/>
    <w:rsid w:val="0038110C"/>
    <w:rsid w:val="003813FF"/>
    <w:rsid w:val="003814C8"/>
    <w:rsid w:val="0038165E"/>
    <w:rsid w:val="00381D70"/>
    <w:rsid w:val="00382602"/>
    <w:rsid w:val="0038266A"/>
    <w:rsid w:val="00382B38"/>
    <w:rsid w:val="00382F25"/>
    <w:rsid w:val="00383498"/>
    <w:rsid w:val="00383577"/>
    <w:rsid w:val="003838AA"/>
    <w:rsid w:val="00383D9C"/>
    <w:rsid w:val="00383E4C"/>
    <w:rsid w:val="00383EDD"/>
    <w:rsid w:val="003840AD"/>
    <w:rsid w:val="00384156"/>
    <w:rsid w:val="00384DB7"/>
    <w:rsid w:val="003850A3"/>
    <w:rsid w:val="00385320"/>
    <w:rsid w:val="003853CD"/>
    <w:rsid w:val="003858FB"/>
    <w:rsid w:val="0038599E"/>
    <w:rsid w:val="003863E8"/>
    <w:rsid w:val="00386833"/>
    <w:rsid w:val="00386908"/>
    <w:rsid w:val="00386AEA"/>
    <w:rsid w:val="003870B1"/>
    <w:rsid w:val="003871B8"/>
    <w:rsid w:val="003876AC"/>
    <w:rsid w:val="00387F07"/>
    <w:rsid w:val="0039004F"/>
    <w:rsid w:val="00391057"/>
    <w:rsid w:val="00391069"/>
    <w:rsid w:val="00391150"/>
    <w:rsid w:val="0039126C"/>
    <w:rsid w:val="0039143A"/>
    <w:rsid w:val="00391542"/>
    <w:rsid w:val="0039184D"/>
    <w:rsid w:val="003918C7"/>
    <w:rsid w:val="00391CDB"/>
    <w:rsid w:val="00392809"/>
    <w:rsid w:val="00392BEE"/>
    <w:rsid w:val="00392FA3"/>
    <w:rsid w:val="0039320B"/>
    <w:rsid w:val="00393288"/>
    <w:rsid w:val="003935B0"/>
    <w:rsid w:val="00393ACD"/>
    <w:rsid w:val="00393D27"/>
    <w:rsid w:val="00393D41"/>
    <w:rsid w:val="00394A88"/>
    <w:rsid w:val="00394C00"/>
    <w:rsid w:val="003952C9"/>
    <w:rsid w:val="00395379"/>
    <w:rsid w:val="003957CD"/>
    <w:rsid w:val="0039599C"/>
    <w:rsid w:val="00395D0A"/>
    <w:rsid w:val="00396E53"/>
    <w:rsid w:val="0039708E"/>
    <w:rsid w:val="00397C7B"/>
    <w:rsid w:val="003A0175"/>
    <w:rsid w:val="003A0257"/>
    <w:rsid w:val="003A04CC"/>
    <w:rsid w:val="003A09F1"/>
    <w:rsid w:val="003A0C0E"/>
    <w:rsid w:val="003A0D92"/>
    <w:rsid w:val="003A1301"/>
    <w:rsid w:val="003A17E3"/>
    <w:rsid w:val="003A1809"/>
    <w:rsid w:val="003A1DA6"/>
    <w:rsid w:val="003A1F96"/>
    <w:rsid w:val="003A2069"/>
    <w:rsid w:val="003A2158"/>
    <w:rsid w:val="003A21CD"/>
    <w:rsid w:val="003A29BA"/>
    <w:rsid w:val="003A3147"/>
    <w:rsid w:val="003A37D0"/>
    <w:rsid w:val="003A3994"/>
    <w:rsid w:val="003A3E99"/>
    <w:rsid w:val="003A4021"/>
    <w:rsid w:val="003A42B3"/>
    <w:rsid w:val="003A4721"/>
    <w:rsid w:val="003A482F"/>
    <w:rsid w:val="003A4B0A"/>
    <w:rsid w:val="003A4F05"/>
    <w:rsid w:val="003A4FEA"/>
    <w:rsid w:val="003A505A"/>
    <w:rsid w:val="003A51F5"/>
    <w:rsid w:val="003A5614"/>
    <w:rsid w:val="003A56F5"/>
    <w:rsid w:val="003A5841"/>
    <w:rsid w:val="003A5FE6"/>
    <w:rsid w:val="003A6039"/>
    <w:rsid w:val="003A655E"/>
    <w:rsid w:val="003A6B93"/>
    <w:rsid w:val="003A778B"/>
    <w:rsid w:val="003A7BAB"/>
    <w:rsid w:val="003A7C7B"/>
    <w:rsid w:val="003A7CF5"/>
    <w:rsid w:val="003B03F8"/>
    <w:rsid w:val="003B0ABD"/>
    <w:rsid w:val="003B0B8E"/>
    <w:rsid w:val="003B0C8D"/>
    <w:rsid w:val="003B0E14"/>
    <w:rsid w:val="003B0E42"/>
    <w:rsid w:val="003B0F3C"/>
    <w:rsid w:val="003B1C60"/>
    <w:rsid w:val="003B1E04"/>
    <w:rsid w:val="003B1EEF"/>
    <w:rsid w:val="003B1FA9"/>
    <w:rsid w:val="003B282B"/>
    <w:rsid w:val="003B2B0E"/>
    <w:rsid w:val="003B301F"/>
    <w:rsid w:val="003B3391"/>
    <w:rsid w:val="003B33CC"/>
    <w:rsid w:val="003B368F"/>
    <w:rsid w:val="003B3CDB"/>
    <w:rsid w:val="003B46E1"/>
    <w:rsid w:val="003B4720"/>
    <w:rsid w:val="003B4B8F"/>
    <w:rsid w:val="003B4FF6"/>
    <w:rsid w:val="003B5656"/>
    <w:rsid w:val="003B585E"/>
    <w:rsid w:val="003B593E"/>
    <w:rsid w:val="003B5960"/>
    <w:rsid w:val="003B5C75"/>
    <w:rsid w:val="003B5CCA"/>
    <w:rsid w:val="003B6468"/>
    <w:rsid w:val="003B677B"/>
    <w:rsid w:val="003B67E6"/>
    <w:rsid w:val="003B6882"/>
    <w:rsid w:val="003B68E7"/>
    <w:rsid w:val="003B6AB4"/>
    <w:rsid w:val="003B6C4C"/>
    <w:rsid w:val="003B6EB6"/>
    <w:rsid w:val="003B6F11"/>
    <w:rsid w:val="003B707E"/>
    <w:rsid w:val="003B721A"/>
    <w:rsid w:val="003B7257"/>
    <w:rsid w:val="003B7551"/>
    <w:rsid w:val="003B773B"/>
    <w:rsid w:val="003B7E40"/>
    <w:rsid w:val="003C0753"/>
    <w:rsid w:val="003C0815"/>
    <w:rsid w:val="003C1200"/>
    <w:rsid w:val="003C1271"/>
    <w:rsid w:val="003C12A9"/>
    <w:rsid w:val="003C1A2C"/>
    <w:rsid w:val="003C2F3E"/>
    <w:rsid w:val="003C307F"/>
    <w:rsid w:val="003C316A"/>
    <w:rsid w:val="003C31E4"/>
    <w:rsid w:val="003C3CAE"/>
    <w:rsid w:val="003C41AD"/>
    <w:rsid w:val="003C48B9"/>
    <w:rsid w:val="003C4CB8"/>
    <w:rsid w:val="003C4E0E"/>
    <w:rsid w:val="003C4F2F"/>
    <w:rsid w:val="003C50F4"/>
    <w:rsid w:val="003C525A"/>
    <w:rsid w:val="003C59DC"/>
    <w:rsid w:val="003C5ABC"/>
    <w:rsid w:val="003C6670"/>
    <w:rsid w:val="003C6A8B"/>
    <w:rsid w:val="003C6C02"/>
    <w:rsid w:val="003C6C13"/>
    <w:rsid w:val="003C6E35"/>
    <w:rsid w:val="003C71E0"/>
    <w:rsid w:val="003C7557"/>
    <w:rsid w:val="003C7AD4"/>
    <w:rsid w:val="003D085F"/>
    <w:rsid w:val="003D0A10"/>
    <w:rsid w:val="003D1179"/>
    <w:rsid w:val="003D141D"/>
    <w:rsid w:val="003D14D9"/>
    <w:rsid w:val="003D15AF"/>
    <w:rsid w:val="003D15EE"/>
    <w:rsid w:val="003D1903"/>
    <w:rsid w:val="003D19FF"/>
    <w:rsid w:val="003D1F22"/>
    <w:rsid w:val="003D2066"/>
    <w:rsid w:val="003D242B"/>
    <w:rsid w:val="003D24F4"/>
    <w:rsid w:val="003D29D5"/>
    <w:rsid w:val="003D2C64"/>
    <w:rsid w:val="003D2DD3"/>
    <w:rsid w:val="003D2F43"/>
    <w:rsid w:val="003D2F4C"/>
    <w:rsid w:val="003D3107"/>
    <w:rsid w:val="003D316B"/>
    <w:rsid w:val="003D35FB"/>
    <w:rsid w:val="003D366E"/>
    <w:rsid w:val="003D389C"/>
    <w:rsid w:val="003D3C87"/>
    <w:rsid w:val="003D3DF6"/>
    <w:rsid w:val="003D3EC7"/>
    <w:rsid w:val="003D3EE1"/>
    <w:rsid w:val="003D42CF"/>
    <w:rsid w:val="003D44A5"/>
    <w:rsid w:val="003D46DB"/>
    <w:rsid w:val="003D4742"/>
    <w:rsid w:val="003D48D3"/>
    <w:rsid w:val="003D4B27"/>
    <w:rsid w:val="003D4DF4"/>
    <w:rsid w:val="003D511B"/>
    <w:rsid w:val="003D528D"/>
    <w:rsid w:val="003D553B"/>
    <w:rsid w:val="003D5644"/>
    <w:rsid w:val="003D5E07"/>
    <w:rsid w:val="003D5E16"/>
    <w:rsid w:val="003D6144"/>
    <w:rsid w:val="003D680C"/>
    <w:rsid w:val="003D68AD"/>
    <w:rsid w:val="003D6F2B"/>
    <w:rsid w:val="003D709A"/>
    <w:rsid w:val="003D73E3"/>
    <w:rsid w:val="003D753D"/>
    <w:rsid w:val="003D76AB"/>
    <w:rsid w:val="003D7C2E"/>
    <w:rsid w:val="003D7CE6"/>
    <w:rsid w:val="003D7D53"/>
    <w:rsid w:val="003E0376"/>
    <w:rsid w:val="003E0543"/>
    <w:rsid w:val="003E0887"/>
    <w:rsid w:val="003E0970"/>
    <w:rsid w:val="003E113F"/>
    <w:rsid w:val="003E143E"/>
    <w:rsid w:val="003E1445"/>
    <w:rsid w:val="003E15EC"/>
    <w:rsid w:val="003E17EE"/>
    <w:rsid w:val="003E1E6E"/>
    <w:rsid w:val="003E1EFB"/>
    <w:rsid w:val="003E20D6"/>
    <w:rsid w:val="003E2B37"/>
    <w:rsid w:val="003E2BDE"/>
    <w:rsid w:val="003E2C0D"/>
    <w:rsid w:val="003E2D70"/>
    <w:rsid w:val="003E2F14"/>
    <w:rsid w:val="003E3199"/>
    <w:rsid w:val="003E37ED"/>
    <w:rsid w:val="003E3D4B"/>
    <w:rsid w:val="003E3FC8"/>
    <w:rsid w:val="003E4030"/>
    <w:rsid w:val="003E454D"/>
    <w:rsid w:val="003E466F"/>
    <w:rsid w:val="003E47AE"/>
    <w:rsid w:val="003E4BB5"/>
    <w:rsid w:val="003E5054"/>
    <w:rsid w:val="003E533B"/>
    <w:rsid w:val="003E556D"/>
    <w:rsid w:val="003E571C"/>
    <w:rsid w:val="003E5A51"/>
    <w:rsid w:val="003E5C3F"/>
    <w:rsid w:val="003E5D53"/>
    <w:rsid w:val="003E5D89"/>
    <w:rsid w:val="003E6114"/>
    <w:rsid w:val="003E617B"/>
    <w:rsid w:val="003E6422"/>
    <w:rsid w:val="003E6427"/>
    <w:rsid w:val="003E64E7"/>
    <w:rsid w:val="003E6982"/>
    <w:rsid w:val="003E6BE0"/>
    <w:rsid w:val="003E6E51"/>
    <w:rsid w:val="003E74C4"/>
    <w:rsid w:val="003E7C6B"/>
    <w:rsid w:val="003E7D71"/>
    <w:rsid w:val="003E7EE7"/>
    <w:rsid w:val="003F01EF"/>
    <w:rsid w:val="003F03BE"/>
    <w:rsid w:val="003F03C6"/>
    <w:rsid w:val="003F075D"/>
    <w:rsid w:val="003F07BE"/>
    <w:rsid w:val="003F142C"/>
    <w:rsid w:val="003F1853"/>
    <w:rsid w:val="003F1A1B"/>
    <w:rsid w:val="003F2019"/>
    <w:rsid w:val="003F23F4"/>
    <w:rsid w:val="003F2650"/>
    <w:rsid w:val="003F2C91"/>
    <w:rsid w:val="003F2F0D"/>
    <w:rsid w:val="003F3375"/>
    <w:rsid w:val="003F3526"/>
    <w:rsid w:val="003F3774"/>
    <w:rsid w:val="003F39BC"/>
    <w:rsid w:val="003F3A61"/>
    <w:rsid w:val="003F3D0C"/>
    <w:rsid w:val="003F3EB3"/>
    <w:rsid w:val="003F40EE"/>
    <w:rsid w:val="003F418C"/>
    <w:rsid w:val="003F46F4"/>
    <w:rsid w:val="003F4A26"/>
    <w:rsid w:val="003F4B9A"/>
    <w:rsid w:val="003F4F27"/>
    <w:rsid w:val="003F57A2"/>
    <w:rsid w:val="003F5BE8"/>
    <w:rsid w:val="003F5C87"/>
    <w:rsid w:val="003F6A15"/>
    <w:rsid w:val="003F6CDC"/>
    <w:rsid w:val="003F724A"/>
    <w:rsid w:val="003F778B"/>
    <w:rsid w:val="003F7BBD"/>
    <w:rsid w:val="00400162"/>
    <w:rsid w:val="0040019A"/>
    <w:rsid w:val="004001C1"/>
    <w:rsid w:val="00400301"/>
    <w:rsid w:val="00400304"/>
    <w:rsid w:val="00400394"/>
    <w:rsid w:val="004006EF"/>
    <w:rsid w:val="00400AC9"/>
    <w:rsid w:val="0040136B"/>
    <w:rsid w:val="00401388"/>
    <w:rsid w:val="004015D1"/>
    <w:rsid w:val="004015E9"/>
    <w:rsid w:val="00402103"/>
    <w:rsid w:val="004026CD"/>
    <w:rsid w:val="004029CA"/>
    <w:rsid w:val="00402E97"/>
    <w:rsid w:val="00402F06"/>
    <w:rsid w:val="00403077"/>
    <w:rsid w:val="0040347B"/>
    <w:rsid w:val="00403823"/>
    <w:rsid w:val="00404029"/>
    <w:rsid w:val="004046AB"/>
    <w:rsid w:val="004053C4"/>
    <w:rsid w:val="004053F2"/>
    <w:rsid w:val="00405C7F"/>
    <w:rsid w:val="00405D4B"/>
    <w:rsid w:val="00405DC4"/>
    <w:rsid w:val="00405DCC"/>
    <w:rsid w:val="004060B0"/>
    <w:rsid w:val="004066EF"/>
    <w:rsid w:val="00406725"/>
    <w:rsid w:val="00406C9D"/>
    <w:rsid w:val="00406E75"/>
    <w:rsid w:val="004072ED"/>
    <w:rsid w:val="004076E4"/>
    <w:rsid w:val="00407864"/>
    <w:rsid w:val="00407C48"/>
    <w:rsid w:val="00407C80"/>
    <w:rsid w:val="004101A3"/>
    <w:rsid w:val="004104A9"/>
    <w:rsid w:val="00410842"/>
    <w:rsid w:val="00410AD3"/>
    <w:rsid w:val="00410D10"/>
    <w:rsid w:val="00410FCB"/>
    <w:rsid w:val="004111CD"/>
    <w:rsid w:val="0041153F"/>
    <w:rsid w:val="0041158E"/>
    <w:rsid w:val="00411956"/>
    <w:rsid w:val="00411FF5"/>
    <w:rsid w:val="0041212B"/>
    <w:rsid w:val="004124B8"/>
    <w:rsid w:val="004125E5"/>
    <w:rsid w:val="00412685"/>
    <w:rsid w:val="00412E4E"/>
    <w:rsid w:val="00412E83"/>
    <w:rsid w:val="00413647"/>
    <w:rsid w:val="00413A91"/>
    <w:rsid w:val="00413F5B"/>
    <w:rsid w:val="00413FAC"/>
    <w:rsid w:val="00414687"/>
    <w:rsid w:val="00414770"/>
    <w:rsid w:val="00414CC2"/>
    <w:rsid w:val="00414EDB"/>
    <w:rsid w:val="0041534E"/>
    <w:rsid w:val="00415720"/>
    <w:rsid w:val="004162F7"/>
    <w:rsid w:val="00416470"/>
    <w:rsid w:val="004169A2"/>
    <w:rsid w:val="00416FC4"/>
    <w:rsid w:val="004171DC"/>
    <w:rsid w:val="00417384"/>
    <w:rsid w:val="004173B4"/>
    <w:rsid w:val="00417468"/>
    <w:rsid w:val="00417752"/>
    <w:rsid w:val="00417B19"/>
    <w:rsid w:val="00417C2F"/>
    <w:rsid w:val="00417DD1"/>
    <w:rsid w:val="004206AC"/>
    <w:rsid w:val="00420DA9"/>
    <w:rsid w:val="00420FAD"/>
    <w:rsid w:val="0042141C"/>
    <w:rsid w:val="00421C50"/>
    <w:rsid w:val="00421FEE"/>
    <w:rsid w:val="00422083"/>
    <w:rsid w:val="0042215F"/>
    <w:rsid w:val="00422260"/>
    <w:rsid w:val="00422632"/>
    <w:rsid w:val="0042284E"/>
    <w:rsid w:val="004229EF"/>
    <w:rsid w:val="00422AF7"/>
    <w:rsid w:val="00422EA1"/>
    <w:rsid w:val="00422EDF"/>
    <w:rsid w:val="00422F30"/>
    <w:rsid w:val="00423179"/>
    <w:rsid w:val="0042321B"/>
    <w:rsid w:val="00423433"/>
    <w:rsid w:val="00423650"/>
    <w:rsid w:val="0042398A"/>
    <w:rsid w:val="00423A66"/>
    <w:rsid w:val="00423E94"/>
    <w:rsid w:val="00423ED1"/>
    <w:rsid w:val="00424323"/>
    <w:rsid w:val="00424888"/>
    <w:rsid w:val="00424A3F"/>
    <w:rsid w:val="00424ADD"/>
    <w:rsid w:val="0042508B"/>
    <w:rsid w:val="00425D56"/>
    <w:rsid w:val="004263FD"/>
    <w:rsid w:val="004266F0"/>
    <w:rsid w:val="00426930"/>
    <w:rsid w:val="00426A36"/>
    <w:rsid w:val="00426D25"/>
    <w:rsid w:val="00426F40"/>
    <w:rsid w:val="00426FD6"/>
    <w:rsid w:val="00427402"/>
    <w:rsid w:val="00427736"/>
    <w:rsid w:val="004279CB"/>
    <w:rsid w:val="00427B5E"/>
    <w:rsid w:val="00427CD7"/>
    <w:rsid w:val="00427E49"/>
    <w:rsid w:val="0043035C"/>
    <w:rsid w:val="004306F1"/>
    <w:rsid w:val="00430B2F"/>
    <w:rsid w:val="00430E5C"/>
    <w:rsid w:val="00430FFB"/>
    <w:rsid w:val="004312C7"/>
    <w:rsid w:val="00431757"/>
    <w:rsid w:val="00431E1C"/>
    <w:rsid w:val="0043202B"/>
    <w:rsid w:val="0043239B"/>
    <w:rsid w:val="0043245E"/>
    <w:rsid w:val="004325D6"/>
    <w:rsid w:val="00432AEB"/>
    <w:rsid w:val="00432BB6"/>
    <w:rsid w:val="00432C8C"/>
    <w:rsid w:val="004330D8"/>
    <w:rsid w:val="00433861"/>
    <w:rsid w:val="0043386B"/>
    <w:rsid w:val="004339B0"/>
    <w:rsid w:val="00433A19"/>
    <w:rsid w:val="00433F31"/>
    <w:rsid w:val="00434065"/>
    <w:rsid w:val="004341DF"/>
    <w:rsid w:val="0043429A"/>
    <w:rsid w:val="00434332"/>
    <w:rsid w:val="00434495"/>
    <w:rsid w:val="00434904"/>
    <w:rsid w:val="00434A02"/>
    <w:rsid w:val="00434ED2"/>
    <w:rsid w:val="00434F01"/>
    <w:rsid w:val="00435047"/>
    <w:rsid w:val="004350CB"/>
    <w:rsid w:val="004352B2"/>
    <w:rsid w:val="00436971"/>
    <w:rsid w:val="00436E34"/>
    <w:rsid w:val="00436FD0"/>
    <w:rsid w:val="00437087"/>
    <w:rsid w:val="004373C1"/>
    <w:rsid w:val="00437544"/>
    <w:rsid w:val="004376EF"/>
    <w:rsid w:val="00437A8B"/>
    <w:rsid w:val="00437B68"/>
    <w:rsid w:val="00440042"/>
    <w:rsid w:val="004401C8"/>
    <w:rsid w:val="00440476"/>
    <w:rsid w:val="00440661"/>
    <w:rsid w:val="0044074E"/>
    <w:rsid w:val="00440D9F"/>
    <w:rsid w:val="0044217C"/>
    <w:rsid w:val="00442532"/>
    <w:rsid w:val="004428DF"/>
    <w:rsid w:val="004429A8"/>
    <w:rsid w:val="00442E61"/>
    <w:rsid w:val="00443270"/>
    <w:rsid w:val="004438F6"/>
    <w:rsid w:val="00443A4A"/>
    <w:rsid w:val="00443D59"/>
    <w:rsid w:val="00443DE8"/>
    <w:rsid w:val="004441F2"/>
    <w:rsid w:val="00444480"/>
    <w:rsid w:val="004444CD"/>
    <w:rsid w:val="00444C97"/>
    <w:rsid w:val="00444E5D"/>
    <w:rsid w:val="00444EA2"/>
    <w:rsid w:val="00445001"/>
    <w:rsid w:val="004455ED"/>
    <w:rsid w:val="00445809"/>
    <w:rsid w:val="004458F6"/>
    <w:rsid w:val="004459E1"/>
    <w:rsid w:val="00445AF6"/>
    <w:rsid w:val="00445D02"/>
    <w:rsid w:val="00445D63"/>
    <w:rsid w:val="004460EC"/>
    <w:rsid w:val="004469AD"/>
    <w:rsid w:val="00446C09"/>
    <w:rsid w:val="00446C68"/>
    <w:rsid w:val="00446DB1"/>
    <w:rsid w:val="00446E08"/>
    <w:rsid w:val="00446FF4"/>
    <w:rsid w:val="00447246"/>
    <w:rsid w:val="00447383"/>
    <w:rsid w:val="004478BD"/>
    <w:rsid w:val="004478E7"/>
    <w:rsid w:val="00447CC4"/>
    <w:rsid w:val="0045063D"/>
    <w:rsid w:val="00450774"/>
    <w:rsid w:val="00450B46"/>
    <w:rsid w:val="00450CBF"/>
    <w:rsid w:val="00451054"/>
    <w:rsid w:val="00451454"/>
    <w:rsid w:val="0045155E"/>
    <w:rsid w:val="00451A32"/>
    <w:rsid w:val="00451D4F"/>
    <w:rsid w:val="004524A0"/>
    <w:rsid w:val="004524E5"/>
    <w:rsid w:val="0045253E"/>
    <w:rsid w:val="0045275B"/>
    <w:rsid w:val="004527B3"/>
    <w:rsid w:val="00452F28"/>
    <w:rsid w:val="00453102"/>
    <w:rsid w:val="004531BA"/>
    <w:rsid w:val="00453401"/>
    <w:rsid w:val="004534F3"/>
    <w:rsid w:val="00454099"/>
    <w:rsid w:val="004546F4"/>
    <w:rsid w:val="00454BCB"/>
    <w:rsid w:val="00454E7A"/>
    <w:rsid w:val="00455A83"/>
    <w:rsid w:val="00455AED"/>
    <w:rsid w:val="00456071"/>
    <w:rsid w:val="0045660B"/>
    <w:rsid w:val="00456828"/>
    <w:rsid w:val="00456A3C"/>
    <w:rsid w:val="00456CAA"/>
    <w:rsid w:val="00456D34"/>
    <w:rsid w:val="00456EF6"/>
    <w:rsid w:val="00457E2A"/>
    <w:rsid w:val="00457EC3"/>
    <w:rsid w:val="004608D6"/>
    <w:rsid w:val="004609FB"/>
    <w:rsid w:val="00460A07"/>
    <w:rsid w:val="00460A59"/>
    <w:rsid w:val="00461B5A"/>
    <w:rsid w:val="00461FC4"/>
    <w:rsid w:val="00462073"/>
    <w:rsid w:val="004620BE"/>
    <w:rsid w:val="004624F0"/>
    <w:rsid w:val="00462561"/>
    <w:rsid w:val="00462B34"/>
    <w:rsid w:val="004631FC"/>
    <w:rsid w:val="0046331F"/>
    <w:rsid w:val="00463821"/>
    <w:rsid w:val="00463DB3"/>
    <w:rsid w:val="00464745"/>
    <w:rsid w:val="00464B04"/>
    <w:rsid w:val="00464D5F"/>
    <w:rsid w:val="00464EA9"/>
    <w:rsid w:val="004650AC"/>
    <w:rsid w:val="0046551D"/>
    <w:rsid w:val="0046608A"/>
    <w:rsid w:val="004665E4"/>
    <w:rsid w:val="00466901"/>
    <w:rsid w:val="00466A69"/>
    <w:rsid w:val="00467236"/>
    <w:rsid w:val="00467329"/>
    <w:rsid w:val="00467BE9"/>
    <w:rsid w:val="00467C47"/>
    <w:rsid w:val="00467C71"/>
    <w:rsid w:val="00470383"/>
    <w:rsid w:val="00470D28"/>
    <w:rsid w:val="004715FB"/>
    <w:rsid w:val="004716F8"/>
    <w:rsid w:val="004718EA"/>
    <w:rsid w:val="00471BBD"/>
    <w:rsid w:val="00471C62"/>
    <w:rsid w:val="00472270"/>
    <w:rsid w:val="0047246F"/>
    <w:rsid w:val="00472871"/>
    <w:rsid w:val="00472892"/>
    <w:rsid w:val="00472F5B"/>
    <w:rsid w:val="00473701"/>
    <w:rsid w:val="00473A85"/>
    <w:rsid w:val="00473C57"/>
    <w:rsid w:val="00473E9C"/>
    <w:rsid w:val="00474536"/>
    <w:rsid w:val="0047457A"/>
    <w:rsid w:val="00474604"/>
    <w:rsid w:val="00474BB6"/>
    <w:rsid w:val="00474DFA"/>
    <w:rsid w:val="00474E51"/>
    <w:rsid w:val="004756DF"/>
    <w:rsid w:val="00476178"/>
    <w:rsid w:val="004761E7"/>
    <w:rsid w:val="004762E8"/>
    <w:rsid w:val="004763B5"/>
    <w:rsid w:val="0047655A"/>
    <w:rsid w:val="004770DD"/>
    <w:rsid w:val="004772BE"/>
    <w:rsid w:val="004772DE"/>
    <w:rsid w:val="004800A3"/>
    <w:rsid w:val="0048028C"/>
    <w:rsid w:val="004804B5"/>
    <w:rsid w:val="00480965"/>
    <w:rsid w:val="00480B96"/>
    <w:rsid w:val="00480F56"/>
    <w:rsid w:val="0048191A"/>
    <w:rsid w:val="00481E4B"/>
    <w:rsid w:val="00481E60"/>
    <w:rsid w:val="00481EB9"/>
    <w:rsid w:val="00482134"/>
    <w:rsid w:val="0048226A"/>
    <w:rsid w:val="00482346"/>
    <w:rsid w:val="00482375"/>
    <w:rsid w:val="00482AAD"/>
    <w:rsid w:val="00484057"/>
    <w:rsid w:val="004841C1"/>
    <w:rsid w:val="00484290"/>
    <w:rsid w:val="004846BB"/>
    <w:rsid w:val="004850A6"/>
    <w:rsid w:val="0048534B"/>
    <w:rsid w:val="004854EC"/>
    <w:rsid w:val="0048550B"/>
    <w:rsid w:val="004859DC"/>
    <w:rsid w:val="00485FB0"/>
    <w:rsid w:val="00485FC6"/>
    <w:rsid w:val="004865FC"/>
    <w:rsid w:val="00486865"/>
    <w:rsid w:val="00486E59"/>
    <w:rsid w:val="00486E7B"/>
    <w:rsid w:val="00487543"/>
    <w:rsid w:val="00487547"/>
    <w:rsid w:val="004875D6"/>
    <w:rsid w:val="004876EA"/>
    <w:rsid w:val="00487768"/>
    <w:rsid w:val="00487A84"/>
    <w:rsid w:val="00487ABF"/>
    <w:rsid w:val="00487B05"/>
    <w:rsid w:val="00487B95"/>
    <w:rsid w:val="00487BC2"/>
    <w:rsid w:val="00487D65"/>
    <w:rsid w:val="004903D3"/>
    <w:rsid w:val="0049047C"/>
    <w:rsid w:val="00490CF2"/>
    <w:rsid w:val="00490D8F"/>
    <w:rsid w:val="00491434"/>
    <w:rsid w:val="00491ACA"/>
    <w:rsid w:val="00491EFE"/>
    <w:rsid w:val="0049252D"/>
    <w:rsid w:val="00492579"/>
    <w:rsid w:val="00492638"/>
    <w:rsid w:val="004926FC"/>
    <w:rsid w:val="004928BC"/>
    <w:rsid w:val="00492DDD"/>
    <w:rsid w:val="00493367"/>
    <w:rsid w:val="004933FD"/>
    <w:rsid w:val="0049356D"/>
    <w:rsid w:val="0049370A"/>
    <w:rsid w:val="0049384C"/>
    <w:rsid w:val="00493A57"/>
    <w:rsid w:val="00494264"/>
    <w:rsid w:val="0049444A"/>
    <w:rsid w:val="0049467D"/>
    <w:rsid w:val="00494E2E"/>
    <w:rsid w:val="0049552A"/>
    <w:rsid w:val="00495721"/>
    <w:rsid w:val="00495872"/>
    <w:rsid w:val="00495981"/>
    <w:rsid w:val="00495C18"/>
    <w:rsid w:val="00495FCA"/>
    <w:rsid w:val="00496729"/>
    <w:rsid w:val="00496982"/>
    <w:rsid w:val="00496CED"/>
    <w:rsid w:val="0049741B"/>
    <w:rsid w:val="004975E2"/>
    <w:rsid w:val="004978C2"/>
    <w:rsid w:val="00497E5E"/>
    <w:rsid w:val="00497F17"/>
    <w:rsid w:val="004A043E"/>
    <w:rsid w:val="004A05CC"/>
    <w:rsid w:val="004A0688"/>
    <w:rsid w:val="004A0884"/>
    <w:rsid w:val="004A0E54"/>
    <w:rsid w:val="004A0FB4"/>
    <w:rsid w:val="004A107C"/>
    <w:rsid w:val="004A10DA"/>
    <w:rsid w:val="004A1111"/>
    <w:rsid w:val="004A119C"/>
    <w:rsid w:val="004A1DFD"/>
    <w:rsid w:val="004A22BC"/>
    <w:rsid w:val="004A2382"/>
    <w:rsid w:val="004A250A"/>
    <w:rsid w:val="004A2835"/>
    <w:rsid w:val="004A2AFF"/>
    <w:rsid w:val="004A2C6D"/>
    <w:rsid w:val="004A2E68"/>
    <w:rsid w:val="004A2FA1"/>
    <w:rsid w:val="004A373D"/>
    <w:rsid w:val="004A375E"/>
    <w:rsid w:val="004A39DD"/>
    <w:rsid w:val="004A3D4C"/>
    <w:rsid w:val="004A4EAF"/>
    <w:rsid w:val="004A527D"/>
    <w:rsid w:val="004A528B"/>
    <w:rsid w:val="004A5811"/>
    <w:rsid w:val="004A587B"/>
    <w:rsid w:val="004A5B08"/>
    <w:rsid w:val="004A5DC4"/>
    <w:rsid w:val="004A6175"/>
    <w:rsid w:val="004A6420"/>
    <w:rsid w:val="004A6623"/>
    <w:rsid w:val="004A6652"/>
    <w:rsid w:val="004A6AEB"/>
    <w:rsid w:val="004A71D9"/>
    <w:rsid w:val="004A77B9"/>
    <w:rsid w:val="004A7D09"/>
    <w:rsid w:val="004A7D22"/>
    <w:rsid w:val="004A7E41"/>
    <w:rsid w:val="004B0243"/>
    <w:rsid w:val="004B0BC5"/>
    <w:rsid w:val="004B0D63"/>
    <w:rsid w:val="004B127C"/>
    <w:rsid w:val="004B17DC"/>
    <w:rsid w:val="004B1891"/>
    <w:rsid w:val="004B1AC3"/>
    <w:rsid w:val="004B1EB7"/>
    <w:rsid w:val="004B1FA6"/>
    <w:rsid w:val="004B1FC0"/>
    <w:rsid w:val="004B20D9"/>
    <w:rsid w:val="004B32FB"/>
    <w:rsid w:val="004B335D"/>
    <w:rsid w:val="004B34EE"/>
    <w:rsid w:val="004B3847"/>
    <w:rsid w:val="004B3872"/>
    <w:rsid w:val="004B3974"/>
    <w:rsid w:val="004B3C80"/>
    <w:rsid w:val="004B3C9B"/>
    <w:rsid w:val="004B40C0"/>
    <w:rsid w:val="004B423D"/>
    <w:rsid w:val="004B429C"/>
    <w:rsid w:val="004B42B1"/>
    <w:rsid w:val="004B447D"/>
    <w:rsid w:val="004B494A"/>
    <w:rsid w:val="004B49F1"/>
    <w:rsid w:val="004B4A6F"/>
    <w:rsid w:val="004B4D1B"/>
    <w:rsid w:val="004B526B"/>
    <w:rsid w:val="004B535B"/>
    <w:rsid w:val="004B5690"/>
    <w:rsid w:val="004B58FF"/>
    <w:rsid w:val="004B5933"/>
    <w:rsid w:val="004B5BCA"/>
    <w:rsid w:val="004B5C3B"/>
    <w:rsid w:val="004B6325"/>
    <w:rsid w:val="004B632F"/>
    <w:rsid w:val="004B67CA"/>
    <w:rsid w:val="004B6893"/>
    <w:rsid w:val="004B6C48"/>
    <w:rsid w:val="004B6DF1"/>
    <w:rsid w:val="004B6EAF"/>
    <w:rsid w:val="004B734F"/>
    <w:rsid w:val="004B7760"/>
    <w:rsid w:val="004B7B07"/>
    <w:rsid w:val="004B7BA8"/>
    <w:rsid w:val="004B7C2C"/>
    <w:rsid w:val="004B7EEF"/>
    <w:rsid w:val="004C004B"/>
    <w:rsid w:val="004C0124"/>
    <w:rsid w:val="004C01BF"/>
    <w:rsid w:val="004C036B"/>
    <w:rsid w:val="004C086C"/>
    <w:rsid w:val="004C19BD"/>
    <w:rsid w:val="004C1C00"/>
    <w:rsid w:val="004C1FAA"/>
    <w:rsid w:val="004C22C3"/>
    <w:rsid w:val="004C2314"/>
    <w:rsid w:val="004C2741"/>
    <w:rsid w:val="004C2DC2"/>
    <w:rsid w:val="004C2EEA"/>
    <w:rsid w:val="004C315B"/>
    <w:rsid w:val="004C318E"/>
    <w:rsid w:val="004C32B2"/>
    <w:rsid w:val="004C337F"/>
    <w:rsid w:val="004C39D2"/>
    <w:rsid w:val="004C3FC3"/>
    <w:rsid w:val="004C425F"/>
    <w:rsid w:val="004C4698"/>
    <w:rsid w:val="004C46B9"/>
    <w:rsid w:val="004C47A7"/>
    <w:rsid w:val="004C4AE4"/>
    <w:rsid w:val="004C4C53"/>
    <w:rsid w:val="004C4DFE"/>
    <w:rsid w:val="004C4E4C"/>
    <w:rsid w:val="004C4E56"/>
    <w:rsid w:val="004C4E76"/>
    <w:rsid w:val="004C4E80"/>
    <w:rsid w:val="004C5219"/>
    <w:rsid w:val="004C521F"/>
    <w:rsid w:val="004C5537"/>
    <w:rsid w:val="004C673D"/>
    <w:rsid w:val="004C67B3"/>
    <w:rsid w:val="004C6BD5"/>
    <w:rsid w:val="004C7166"/>
    <w:rsid w:val="004C71BB"/>
    <w:rsid w:val="004C785D"/>
    <w:rsid w:val="004C789A"/>
    <w:rsid w:val="004D02F1"/>
    <w:rsid w:val="004D0ED7"/>
    <w:rsid w:val="004D10F2"/>
    <w:rsid w:val="004D1779"/>
    <w:rsid w:val="004D19FC"/>
    <w:rsid w:val="004D1BB2"/>
    <w:rsid w:val="004D1E2F"/>
    <w:rsid w:val="004D2394"/>
    <w:rsid w:val="004D2881"/>
    <w:rsid w:val="004D28B7"/>
    <w:rsid w:val="004D2AC1"/>
    <w:rsid w:val="004D2D2A"/>
    <w:rsid w:val="004D2F04"/>
    <w:rsid w:val="004D33FB"/>
    <w:rsid w:val="004D3AB9"/>
    <w:rsid w:val="004D3C17"/>
    <w:rsid w:val="004D3D04"/>
    <w:rsid w:val="004D407D"/>
    <w:rsid w:val="004D42B6"/>
    <w:rsid w:val="004D4400"/>
    <w:rsid w:val="004D4461"/>
    <w:rsid w:val="004D4A01"/>
    <w:rsid w:val="004D5025"/>
    <w:rsid w:val="004D5903"/>
    <w:rsid w:val="004D5960"/>
    <w:rsid w:val="004D5EA2"/>
    <w:rsid w:val="004D5F0D"/>
    <w:rsid w:val="004D5F87"/>
    <w:rsid w:val="004D6403"/>
    <w:rsid w:val="004D70C0"/>
    <w:rsid w:val="004D78EA"/>
    <w:rsid w:val="004D797C"/>
    <w:rsid w:val="004D7A7C"/>
    <w:rsid w:val="004D7BBF"/>
    <w:rsid w:val="004D7C09"/>
    <w:rsid w:val="004E0195"/>
    <w:rsid w:val="004E04A7"/>
    <w:rsid w:val="004E04E1"/>
    <w:rsid w:val="004E0D0C"/>
    <w:rsid w:val="004E0F36"/>
    <w:rsid w:val="004E0F5F"/>
    <w:rsid w:val="004E1155"/>
    <w:rsid w:val="004E14B6"/>
    <w:rsid w:val="004E19C8"/>
    <w:rsid w:val="004E1BF2"/>
    <w:rsid w:val="004E1E39"/>
    <w:rsid w:val="004E200F"/>
    <w:rsid w:val="004E294F"/>
    <w:rsid w:val="004E2D7D"/>
    <w:rsid w:val="004E305E"/>
    <w:rsid w:val="004E30E1"/>
    <w:rsid w:val="004E3650"/>
    <w:rsid w:val="004E36A1"/>
    <w:rsid w:val="004E36EB"/>
    <w:rsid w:val="004E38B0"/>
    <w:rsid w:val="004E3C27"/>
    <w:rsid w:val="004E3D34"/>
    <w:rsid w:val="004E3EE2"/>
    <w:rsid w:val="004E3F71"/>
    <w:rsid w:val="004E414D"/>
    <w:rsid w:val="004E4319"/>
    <w:rsid w:val="004E457D"/>
    <w:rsid w:val="004E4827"/>
    <w:rsid w:val="004E4858"/>
    <w:rsid w:val="004E4AD0"/>
    <w:rsid w:val="004E4B60"/>
    <w:rsid w:val="004E523A"/>
    <w:rsid w:val="004E5663"/>
    <w:rsid w:val="004E5815"/>
    <w:rsid w:val="004E5984"/>
    <w:rsid w:val="004E5C05"/>
    <w:rsid w:val="004E5C08"/>
    <w:rsid w:val="004E5F06"/>
    <w:rsid w:val="004E6CD1"/>
    <w:rsid w:val="004E716A"/>
    <w:rsid w:val="004E7402"/>
    <w:rsid w:val="004E7C63"/>
    <w:rsid w:val="004E7CD6"/>
    <w:rsid w:val="004E7ED4"/>
    <w:rsid w:val="004F0025"/>
    <w:rsid w:val="004F00D1"/>
    <w:rsid w:val="004F067F"/>
    <w:rsid w:val="004F0832"/>
    <w:rsid w:val="004F0BC7"/>
    <w:rsid w:val="004F1567"/>
    <w:rsid w:val="004F1794"/>
    <w:rsid w:val="004F1982"/>
    <w:rsid w:val="004F2662"/>
    <w:rsid w:val="004F27F1"/>
    <w:rsid w:val="004F29CA"/>
    <w:rsid w:val="004F2A79"/>
    <w:rsid w:val="004F2CCB"/>
    <w:rsid w:val="004F2F5F"/>
    <w:rsid w:val="004F342B"/>
    <w:rsid w:val="004F35AA"/>
    <w:rsid w:val="004F371A"/>
    <w:rsid w:val="004F3BB2"/>
    <w:rsid w:val="004F3CA8"/>
    <w:rsid w:val="004F3D0E"/>
    <w:rsid w:val="004F42BA"/>
    <w:rsid w:val="004F4579"/>
    <w:rsid w:val="004F4729"/>
    <w:rsid w:val="004F4B0C"/>
    <w:rsid w:val="004F4D30"/>
    <w:rsid w:val="004F4DD9"/>
    <w:rsid w:val="004F5773"/>
    <w:rsid w:val="004F5B67"/>
    <w:rsid w:val="004F67FB"/>
    <w:rsid w:val="004F698F"/>
    <w:rsid w:val="004F69FF"/>
    <w:rsid w:val="004F6B32"/>
    <w:rsid w:val="004F7824"/>
    <w:rsid w:val="004F790C"/>
    <w:rsid w:val="004F79BC"/>
    <w:rsid w:val="004F7D1D"/>
    <w:rsid w:val="00500031"/>
    <w:rsid w:val="00500B31"/>
    <w:rsid w:val="00500DF3"/>
    <w:rsid w:val="005011A6"/>
    <w:rsid w:val="005013DB"/>
    <w:rsid w:val="00501D0D"/>
    <w:rsid w:val="00501F7B"/>
    <w:rsid w:val="0050234F"/>
    <w:rsid w:val="00502685"/>
    <w:rsid w:val="005028B6"/>
    <w:rsid w:val="005031F2"/>
    <w:rsid w:val="00503224"/>
    <w:rsid w:val="005034AD"/>
    <w:rsid w:val="0050392F"/>
    <w:rsid w:val="00503CCD"/>
    <w:rsid w:val="0050431B"/>
    <w:rsid w:val="00504D93"/>
    <w:rsid w:val="00504D94"/>
    <w:rsid w:val="00504EEC"/>
    <w:rsid w:val="00505452"/>
    <w:rsid w:val="0050550F"/>
    <w:rsid w:val="005059D9"/>
    <w:rsid w:val="00505AE8"/>
    <w:rsid w:val="00505C97"/>
    <w:rsid w:val="00505D83"/>
    <w:rsid w:val="00505E24"/>
    <w:rsid w:val="0050627E"/>
    <w:rsid w:val="00506725"/>
    <w:rsid w:val="0050689B"/>
    <w:rsid w:val="0050692A"/>
    <w:rsid w:val="00506D96"/>
    <w:rsid w:val="00506E37"/>
    <w:rsid w:val="00506E7E"/>
    <w:rsid w:val="00506F11"/>
    <w:rsid w:val="0050737E"/>
    <w:rsid w:val="00507A84"/>
    <w:rsid w:val="005103EE"/>
    <w:rsid w:val="00510650"/>
    <w:rsid w:val="005106F5"/>
    <w:rsid w:val="0051081E"/>
    <w:rsid w:val="005116D7"/>
    <w:rsid w:val="00511BAC"/>
    <w:rsid w:val="00511F3E"/>
    <w:rsid w:val="0051296F"/>
    <w:rsid w:val="00512CAD"/>
    <w:rsid w:val="00512F05"/>
    <w:rsid w:val="00512F50"/>
    <w:rsid w:val="005141FC"/>
    <w:rsid w:val="005144B0"/>
    <w:rsid w:val="005144CA"/>
    <w:rsid w:val="00514778"/>
    <w:rsid w:val="00514ADE"/>
    <w:rsid w:val="00514B5C"/>
    <w:rsid w:val="00514D7F"/>
    <w:rsid w:val="00514F56"/>
    <w:rsid w:val="00514FF6"/>
    <w:rsid w:val="00515184"/>
    <w:rsid w:val="005155BB"/>
    <w:rsid w:val="00515782"/>
    <w:rsid w:val="00515797"/>
    <w:rsid w:val="005158D8"/>
    <w:rsid w:val="005159F5"/>
    <w:rsid w:val="00516302"/>
    <w:rsid w:val="00516445"/>
    <w:rsid w:val="00516657"/>
    <w:rsid w:val="005168C9"/>
    <w:rsid w:val="00516BDF"/>
    <w:rsid w:val="00516C10"/>
    <w:rsid w:val="00516E87"/>
    <w:rsid w:val="00517513"/>
    <w:rsid w:val="0051785A"/>
    <w:rsid w:val="00517A75"/>
    <w:rsid w:val="00517E8D"/>
    <w:rsid w:val="00517FE5"/>
    <w:rsid w:val="00520135"/>
    <w:rsid w:val="00520147"/>
    <w:rsid w:val="005202BB"/>
    <w:rsid w:val="00520375"/>
    <w:rsid w:val="005204A4"/>
    <w:rsid w:val="00520A8F"/>
    <w:rsid w:val="00520DB5"/>
    <w:rsid w:val="00521478"/>
    <w:rsid w:val="00521C63"/>
    <w:rsid w:val="00521FAD"/>
    <w:rsid w:val="00522521"/>
    <w:rsid w:val="005225D5"/>
    <w:rsid w:val="00522B35"/>
    <w:rsid w:val="005230A3"/>
    <w:rsid w:val="00523341"/>
    <w:rsid w:val="00523C7A"/>
    <w:rsid w:val="00523CC8"/>
    <w:rsid w:val="00523E3A"/>
    <w:rsid w:val="00523FA0"/>
    <w:rsid w:val="005241C0"/>
    <w:rsid w:val="005242CA"/>
    <w:rsid w:val="00524596"/>
    <w:rsid w:val="00524701"/>
    <w:rsid w:val="00524859"/>
    <w:rsid w:val="00524929"/>
    <w:rsid w:val="0052517D"/>
    <w:rsid w:val="005263D6"/>
    <w:rsid w:val="00526ACB"/>
    <w:rsid w:val="00527766"/>
    <w:rsid w:val="005278B5"/>
    <w:rsid w:val="00527B69"/>
    <w:rsid w:val="00527CE1"/>
    <w:rsid w:val="005304E2"/>
    <w:rsid w:val="005306E9"/>
    <w:rsid w:val="0053076D"/>
    <w:rsid w:val="00530958"/>
    <w:rsid w:val="00530D2D"/>
    <w:rsid w:val="0053183B"/>
    <w:rsid w:val="005319C2"/>
    <w:rsid w:val="005322D1"/>
    <w:rsid w:val="00532497"/>
    <w:rsid w:val="005325F2"/>
    <w:rsid w:val="0053285C"/>
    <w:rsid w:val="00532A0B"/>
    <w:rsid w:val="00532DAE"/>
    <w:rsid w:val="00533130"/>
    <w:rsid w:val="005338DF"/>
    <w:rsid w:val="005338F6"/>
    <w:rsid w:val="00533B5E"/>
    <w:rsid w:val="00533DE3"/>
    <w:rsid w:val="00534532"/>
    <w:rsid w:val="00534634"/>
    <w:rsid w:val="00535AF2"/>
    <w:rsid w:val="005363EB"/>
    <w:rsid w:val="0053682E"/>
    <w:rsid w:val="00536909"/>
    <w:rsid w:val="00536CCE"/>
    <w:rsid w:val="00537073"/>
    <w:rsid w:val="005372C2"/>
    <w:rsid w:val="0053733E"/>
    <w:rsid w:val="00537472"/>
    <w:rsid w:val="005375AB"/>
    <w:rsid w:val="005375D8"/>
    <w:rsid w:val="00537872"/>
    <w:rsid w:val="00537C56"/>
    <w:rsid w:val="00537F34"/>
    <w:rsid w:val="00537F7F"/>
    <w:rsid w:val="0054041D"/>
    <w:rsid w:val="005404AD"/>
    <w:rsid w:val="005405F5"/>
    <w:rsid w:val="005408DA"/>
    <w:rsid w:val="005412F2"/>
    <w:rsid w:val="00541401"/>
    <w:rsid w:val="005414AE"/>
    <w:rsid w:val="0054179B"/>
    <w:rsid w:val="00541BDF"/>
    <w:rsid w:val="00541BE1"/>
    <w:rsid w:val="00541DD6"/>
    <w:rsid w:val="00541E4C"/>
    <w:rsid w:val="00542783"/>
    <w:rsid w:val="005428E7"/>
    <w:rsid w:val="00542BCC"/>
    <w:rsid w:val="0054302B"/>
    <w:rsid w:val="0054303B"/>
    <w:rsid w:val="00543144"/>
    <w:rsid w:val="0054326B"/>
    <w:rsid w:val="005433CA"/>
    <w:rsid w:val="0054346F"/>
    <w:rsid w:val="00543482"/>
    <w:rsid w:val="005435D7"/>
    <w:rsid w:val="005436DB"/>
    <w:rsid w:val="00543DBF"/>
    <w:rsid w:val="00543E3D"/>
    <w:rsid w:val="005447F7"/>
    <w:rsid w:val="0054485E"/>
    <w:rsid w:val="005449BD"/>
    <w:rsid w:val="00544BA7"/>
    <w:rsid w:val="00544EC1"/>
    <w:rsid w:val="00545130"/>
    <w:rsid w:val="00545210"/>
    <w:rsid w:val="00545379"/>
    <w:rsid w:val="00545464"/>
    <w:rsid w:val="0054551E"/>
    <w:rsid w:val="00545866"/>
    <w:rsid w:val="00545AD4"/>
    <w:rsid w:val="00545CDA"/>
    <w:rsid w:val="00545D2C"/>
    <w:rsid w:val="00546955"/>
    <w:rsid w:val="00546A02"/>
    <w:rsid w:val="00546C03"/>
    <w:rsid w:val="00547073"/>
    <w:rsid w:val="005470A0"/>
    <w:rsid w:val="00547413"/>
    <w:rsid w:val="00547488"/>
    <w:rsid w:val="00547A3E"/>
    <w:rsid w:val="00547E47"/>
    <w:rsid w:val="00550154"/>
    <w:rsid w:val="005501E0"/>
    <w:rsid w:val="00550358"/>
    <w:rsid w:val="0055039C"/>
    <w:rsid w:val="005503FB"/>
    <w:rsid w:val="0055044F"/>
    <w:rsid w:val="00550720"/>
    <w:rsid w:val="00550887"/>
    <w:rsid w:val="005509D3"/>
    <w:rsid w:val="00550E0C"/>
    <w:rsid w:val="00550E24"/>
    <w:rsid w:val="00550F39"/>
    <w:rsid w:val="00551066"/>
    <w:rsid w:val="005512C1"/>
    <w:rsid w:val="005512C6"/>
    <w:rsid w:val="005517BE"/>
    <w:rsid w:val="0055183B"/>
    <w:rsid w:val="005518CD"/>
    <w:rsid w:val="00551A74"/>
    <w:rsid w:val="00551F5D"/>
    <w:rsid w:val="005520BA"/>
    <w:rsid w:val="005520CE"/>
    <w:rsid w:val="00552198"/>
    <w:rsid w:val="005521C9"/>
    <w:rsid w:val="00552297"/>
    <w:rsid w:val="0055253D"/>
    <w:rsid w:val="00552991"/>
    <w:rsid w:val="00552A69"/>
    <w:rsid w:val="00552B69"/>
    <w:rsid w:val="00552BC5"/>
    <w:rsid w:val="005530EB"/>
    <w:rsid w:val="00553105"/>
    <w:rsid w:val="00553311"/>
    <w:rsid w:val="00553446"/>
    <w:rsid w:val="005544B6"/>
    <w:rsid w:val="0055451C"/>
    <w:rsid w:val="005547BB"/>
    <w:rsid w:val="005549DF"/>
    <w:rsid w:val="00554CB3"/>
    <w:rsid w:val="00554F06"/>
    <w:rsid w:val="00555014"/>
    <w:rsid w:val="00555153"/>
    <w:rsid w:val="00555752"/>
    <w:rsid w:val="00555BDE"/>
    <w:rsid w:val="00555D4F"/>
    <w:rsid w:val="00555FAF"/>
    <w:rsid w:val="0055662C"/>
    <w:rsid w:val="00557171"/>
    <w:rsid w:val="005576BB"/>
    <w:rsid w:val="005578DD"/>
    <w:rsid w:val="00557D39"/>
    <w:rsid w:val="00557FE4"/>
    <w:rsid w:val="00560276"/>
    <w:rsid w:val="00560A04"/>
    <w:rsid w:val="00560A47"/>
    <w:rsid w:val="00561576"/>
    <w:rsid w:val="00561624"/>
    <w:rsid w:val="0056162C"/>
    <w:rsid w:val="005616A7"/>
    <w:rsid w:val="005619E8"/>
    <w:rsid w:val="00561CB7"/>
    <w:rsid w:val="00561CB9"/>
    <w:rsid w:val="00561F05"/>
    <w:rsid w:val="0056215D"/>
    <w:rsid w:val="005621A7"/>
    <w:rsid w:val="00562A59"/>
    <w:rsid w:val="0056302B"/>
    <w:rsid w:val="005631E5"/>
    <w:rsid w:val="005642F7"/>
    <w:rsid w:val="005643C2"/>
    <w:rsid w:val="00564F7D"/>
    <w:rsid w:val="0056513C"/>
    <w:rsid w:val="005652CD"/>
    <w:rsid w:val="00565451"/>
    <w:rsid w:val="0056619D"/>
    <w:rsid w:val="00566610"/>
    <w:rsid w:val="00566812"/>
    <w:rsid w:val="00566B17"/>
    <w:rsid w:val="00566E51"/>
    <w:rsid w:val="00566FE9"/>
    <w:rsid w:val="0056707F"/>
    <w:rsid w:val="005670DE"/>
    <w:rsid w:val="0056710A"/>
    <w:rsid w:val="005672C2"/>
    <w:rsid w:val="0056763C"/>
    <w:rsid w:val="0056774F"/>
    <w:rsid w:val="00567830"/>
    <w:rsid w:val="00567F43"/>
    <w:rsid w:val="0057007C"/>
    <w:rsid w:val="005700A6"/>
    <w:rsid w:val="0057022C"/>
    <w:rsid w:val="005706EB"/>
    <w:rsid w:val="00570E7B"/>
    <w:rsid w:val="005717C0"/>
    <w:rsid w:val="00571D25"/>
    <w:rsid w:val="00571D7F"/>
    <w:rsid w:val="00571E9A"/>
    <w:rsid w:val="00572727"/>
    <w:rsid w:val="00572E18"/>
    <w:rsid w:val="005731F3"/>
    <w:rsid w:val="005733C2"/>
    <w:rsid w:val="00573F21"/>
    <w:rsid w:val="00573F9D"/>
    <w:rsid w:val="00574348"/>
    <w:rsid w:val="00574437"/>
    <w:rsid w:val="0057498F"/>
    <w:rsid w:val="00574D78"/>
    <w:rsid w:val="0057522A"/>
    <w:rsid w:val="005754DC"/>
    <w:rsid w:val="005758CB"/>
    <w:rsid w:val="00575CFB"/>
    <w:rsid w:val="00575DE6"/>
    <w:rsid w:val="00576710"/>
    <w:rsid w:val="00576AE7"/>
    <w:rsid w:val="00576C42"/>
    <w:rsid w:val="00577698"/>
    <w:rsid w:val="00577955"/>
    <w:rsid w:val="00577F08"/>
    <w:rsid w:val="0058002E"/>
    <w:rsid w:val="0058008C"/>
    <w:rsid w:val="005801CA"/>
    <w:rsid w:val="005803AA"/>
    <w:rsid w:val="005805FB"/>
    <w:rsid w:val="005810CF"/>
    <w:rsid w:val="005814FC"/>
    <w:rsid w:val="00581903"/>
    <w:rsid w:val="00581978"/>
    <w:rsid w:val="00581B7F"/>
    <w:rsid w:val="00582065"/>
    <w:rsid w:val="00582242"/>
    <w:rsid w:val="005824BA"/>
    <w:rsid w:val="0058252A"/>
    <w:rsid w:val="0058282F"/>
    <w:rsid w:val="00582A70"/>
    <w:rsid w:val="00582AE7"/>
    <w:rsid w:val="00582BBE"/>
    <w:rsid w:val="00582DD1"/>
    <w:rsid w:val="00582E26"/>
    <w:rsid w:val="005837DA"/>
    <w:rsid w:val="0058387E"/>
    <w:rsid w:val="00583A28"/>
    <w:rsid w:val="00583AE0"/>
    <w:rsid w:val="00583E90"/>
    <w:rsid w:val="005841A7"/>
    <w:rsid w:val="005846A3"/>
    <w:rsid w:val="0058499C"/>
    <w:rsid w:val="00584B03"/>
    <w:rsid w:val="005850A3"/>
    <w:rsid w:val="005851BC"/>
    <w:rsid w:val="005854C8"/>
    <w:rsid w:val="00585726"/>
    <w:rsid w:val="00585E4F"/>
    <w:rsid w:val="00585FEA"/>
    <w:rsid w:val="00586065"/>
    <w:rsid w:val="0058612C"/>
    <w:rsid w:val="0058615F"/>
    <w:rsid w:val="00586C07"/>
    <w:rsid w:val="00586CD5"/>
    <w:rsid w:val="005872C4"/>
    <w:rsid w:val="005877A9"/>
    <w:rsid w:val="005877EE"/>
    <w:rsid w:val="005878DF"/>
    <w:rsid w:val="0059062F"/>
    <w:rsid w:val="00590739"/>
    <w:rsid w:val="005911BB"/>
    <w:rsid w:val="005913CC"/>
    <w:rsid w:val="005918CC"/>
    <w:rsid w:val="00591DBC"/>
    <w:rsid w:val="00591E93"/>
    <w:rsid w:val="00592019"/>
    <w:rsid w:val="005920C7"/>
    <w:rsid w:val="00592449"/>
    <w:rsid w:val="00592A4E"/>
    <w:rsid w:val="00592AAF"/>
    <w:rsid w:val="00592E0D"/>
    <w:rsid w:val="00592F5D"/>
    <w:rsid w:val="0059344E"/>
    <w:rsid w:val="0059350C"/>
    <w:rsid w:val="0059479F"/>
    <w:rsid w:val="0059489E"/>
    <w:rsid w:val="00594C52"/>
    <w:rsid w:val="00595021"/>
    <w:rsid w:val="005951C2"/>
    <w:rsid w:val="0059525A"/>
    <w:rsid w:val="005963EB"/>
    <w:rsid w:val="005966D9"/>
    <w:rsid w:val="005969CF"/>
    <w:rsid w:val="00596A94"/>
    <w:rsid w:val="00596BCA"/>
    <w:rsid w:val="00596C01"/>
    <w:rsid w:val="00596C5D"/>
    <w:rsid w:val="00596F23"/>
    <w:rsid w:val="00597213"/>
    <w:rsid w:val="005974EB"/>
    <w:rsid w:val="005977B8"/>
    <w:rsid w:val="00597BF8"/>
    <w:rsid w:val="00597D57"/>
    <w:rsid w:val="00597DDB"/>
    <w:rsid w:val="005A00AB"/>
    <w:rsid w:val="005A0174"/>
    <w:rsid w:val="005A0262"/>
    <w:rsid w:val="005A0E39"/>
    <w:rsid w:val="005A0F98"/>
    <w:rsid w:val="005A14A9"/>
    <w:rsid w:val="005A14B1"/>
    <w:rsid w:val="005A17DB"/>
    <w:rsid w:val="005A17EB"/>
    <w:rsid w:val="005A1A86"/>
    <w:rsid w:val="005A2635"/>
    <w:rsid w:val="005A2B16"/>
    <w:rsid w:val="005A2B1D"/>
    <w:rsid w:val="005A30FE"/>
    <w:rsid w:val="005A319C"/>
    <w:rsid w:val="005A3244"/>
    <w:rsid w:val="005A3464"/>
    <w:rsid w:val="005A3622"/>
    <w:rsid w:val="005A3710"/>
    <w:rsid w:val="005A37A5"/>
    <w:rsid w:val="005A3A5E"/>
    <w:rsid w:val="005A4D5D"/>
    <w:rsid w:val="005A4DB5"/>
    <w:rsid w:val="005A4E46"/>
    <w:rsid w:val="005A625C"/>
    <w:rsid w:val="005A6817"/>
    <w:rsid w:val="005A6CC3"/>
    <w:rsid w:val="005A7111"/>
    <w:rsid w:val="005A79A0"/>
    <w:rsid w:val="005A79AE"/>
    <w:rsid w:val="005B03FD"/>
    <w:rsid w:val="005B0401"/>
    <w:rsid w:val="005B0566"/>
    <w:rsid w:val="005B0744"/>
    <w:rsid w:val="005B0B8A"/>
    <w:rsid w:val="005B0CA9"/>
    <w:rsid w:val="005B0D82"/>
    <w:rsid w:val="005B1239"/>
    <w:rsid w:val="005B1578"/>
    <w:rsid w:val="005B1AC6"/>
    <w:rsid w:val="005B1B42"/>
    <w:rsid w:val="005B1D4C"/>
    <w:rsid w:val="005B2235"/>
    <w:rsid w:val="005B2477"/>
    <w:rsid w:val="005B27E7"/>
    <w:rsid w:val="005B2847"/>
    <w:rsid w:val="005B2BD9"/>
    <w:rsid w:val="005B2CF0"/>
    <w:rsid w:val="005B2EAB"/>
    <w:rsid w:val="005B31CF"/>
    <w:rsid w:val="005B34E4"/>
    <w:rsid w:val="005B4231"/>
    <w:rsid w:val="005B46E4"/>
    <w:rsid w:val="005B4798"/>
    <w:rsid w:val="005B48D7"/>
    <w:rsid w:val="005B48F3"/>
    <w:rsid w:val="005B4A15"/>
    <w:rsid w:val="005B4B9A"/>
    <w:rsid w:val="005B4C82"/>
    <w:rsid w:val="005B510A"/>
    <w:rsid w:val="005B52DD"/>
    <w:rsid w:val="005B545B"/>
    <w:rsid w:val="005B5A94"/>
    <w:rsid w:val="005B5B47"/>
    <w:rsid w:val="005B63CD"/>
    <w:rsid w:val="005B65D3"/>
    <w:rsid w:val="005B695A"/>
    <w:rsid w:val="005B7074"/>
    <w:rsid w:val="005B7200"/>
    <w:rsid w:val="005B73AA"/>
    <w:rsid w:val="005B74D4"/>
    <w:rsid w:val="005B79F4"/>
    <w:rsid w:val="005B7EFD"/>
    <w:rsid w:val="005C03E9"/>
    <w:rsid w:val="005C089C"/>
    <w:rsid w:val="005C0DC5"/>
    <w:rsid w:val="005C0FDB"/>
    <w:rsid w:val="005C1091"/>
    <w:rsid w:val="005C1174"/>
    <w:rsid w:val="005C1728"/>
    <w:rsid w:val="005C1866"/>
    <w:rsid w:val="005C20E4"/>
    <w:rsid w:val="005C213D"/>
    <w:rsid w:val="005C217C"/>
    <w:rsid w:val="005C234D"/>
    <w:rsid w:val="005C2972"/>
    <w:rsid w:val="005C2996"/>
    <w:rsid w:val="005C2C4F"/>
    <w:rsid w:val="005C2FA6"/>
    <w:rsid w:val="005C3128"/>
    <w:rsid w:val="005C32FC"/>
    <w:rsid w:val="005C3346"/>
    <w:rsid w:val="005C33A8"/>
    <w:rsid w:val="005C369D"/>
    <w:rsid w:val="005C39D4"/>
    <w:rsid w:val="005C3F07"/>
    <w:rsid w:val="005C40E1"/>
    <w:rsid w:val="005C424D"/>
    <w:rsid w:val="005C434E"/>
    <w:rsid w:val="005C45A6"/>
    <w:rsid w:val="005C4615"/>
    <w:rsid w:val="005C4635"/>
    <w:rsid w:val="005C488F"/>
    <w:rsid w:val="005C49E3"/>
    <w:rsid w:val="005C4BBE"/>
    <w:rsid w:val="005C4EE8"/>
    <w:rsid w:val="005C524F"/>
    <w:rsid w:val="005C53A8"/>
    <w:rsid w:val="005C5540"/>
    <w:rsid w:val="005C5822"/>
    <w:rsid w:val="005C583C"/>
    <w:rsid w:val="005C58A5"/>
    <w:rsid w:val="005C5A24"/>
    <w:rsid w:val="005C5D45"/>
    <w:rsid w:val="005C5D80"/>
    <w:rsid w:val="005C69B3"/>
    <w:rsid w:val="005C6E98"/>
    <w:rsid w:val="005C7468"/>
    <w:rsid w:val="005C7799"/>
    <w:rsid w:val="005C7902"/>
    <w:rsid w:val="005C79C4"/>
    <w:rsid w:val="005D06FB"/>
    <w:rsid w:val="005D12CE"/>
    <w:rsid w:val="005D17E0"/>
    <w:rsid w:val="005D188A"/>
    <w:rsid w:val="005D18A6"/>
    <w:rsid w:val="005D19A6"/>
    <w:rsid w:val="005D1C5C"/>
    <w:rsid w:val="005D1F9A"/>
    <w:rsid w:val="005D24B7"/>
    <w:rsid w:val="005D2527"/>
    <w:rsid w:val="005D25A9"/>
    <w:rsid w:val="005D26EA"/>
    <w:rsid w:val="005D2746"/>
    <w:rsid w:val="005D2A23"/>
    <w:rsid w:val="005D2A7A"/>
    <w:rsid w:val="005D2A7B"/>
    <w:rsid w:val="005D2B43"/>
    <w:rsid w:val="005D3054"/>
    <w:rsid w:val="005D36C9"/>
    <w:rsid w:val="005D3C19"/>
    <w:rsid w:val="005D3EAD"/>
    <w:rsid w:val="005D403E"/>
    <w:rsid w:val="005D428A"/>
    <w:rsid w:val="005D438B"/>
    <w:rsid w:val="005D4445"/>
    <w:rsid w:val="005D46D8"/>
    <w:rsid w:val="005D4B0C"/>
    <w:rsid w:val="005D4B4F"/>
    <w:rsid w:val="005D4D69"/>
    <w:rsid w:val="005D4E3D"/>
    <w:rsid w:val="005D52CD"/>
    <w:rsid w:val="005D5652"/>
    <w:rsid w:val="005D578D"/>
    <w:rsid w:val="005D5AC7"/>
    <w:rsid w:val="005D5C2E"/>
    <w:rsid w:val="005D635E"/>
    <w:rsid w:val="005D6459"/>
    <w:rsid w:val="005D6792"/>
    <w:rsid w:val="005D6884"/>
    <w:rsid w:val="005D6C8B"/>
    <w:rsid w:val="005D6DEA"/>
    <w:rsid w:val="005D757F"/>
    <w:rsid w:val="005D7667"/>
    <w:rsid w:val="005D7946"/>
    <w:rsid w:val="005D7CDE"/>
    <w:rsid w:val="005D7D89"/>
    <w:rsid w:val="005E0153"/>
    <w:rsid w:val="005E036E"/>
    <w:rsid w:val="005E0462"/>
    <w:rsid w:val="005E0583"/>
    <w:rsid w:val="005E05D4"/>
    <w:rsid w:val="005E0A7E"/>
    <w:rsid w:val="005E0DE2"/>
    <w:rsid w:val="005E121C"/>
    <w:rsid w:val="005E197F"/>
    <w:rsid w:val="005E1F2E"/>
    <w:rsid w:val="005E1FC4"/>
    <w:rsid w:val="005E20D3"/>
    <w:rsid w:val="005E26A4"/>
    <w:rsid w:val="005E2AF4"/>
    <w:rsid w:val="005E2E1C"/>
    <w:rsid w:val="005E2E62"/>
    <w:rsid w:val="005E3251"/>
    <w:rsid w:val="005E3442"/>
    <w:rsid w:val="005E39F4"/>
    <w:rsid w:val="005E3A66"/>
    <w:rsid w:val="005E441C"/>
    <w:rsid w:val="005E4651"/>
    <w:rsid w:val="005E4938"/>
    <w:rsid w:val="005E4D35"/>
    <w:rsid w:val="005E5190"/>
    <w:rsid w:val="005E5596"/>
    <w:rsid w:val="005E5825"/>
    <w:rsid w:val="005E58E0"/>
    <w:rsid w:val="005E5BDD"/>
    <w:rsid w:val="005E5BFE"/>
    <w:rsid w:val="005E6171"/>
    <w:rsid w:val="005E6CB5"/>
    <w:rsid w:val="005E6CDA"/>
    <w:rsid w:val="005E6DE9"/>
    <w:rsid w:val="005E7068"/>
    <w:rsid w:val="005E70BC"/>
    <w:rsid w:val="005E72D4"/>
    <w:rsid w:val="005E73B2"/>
    <w:rsid w:val="005E7575"/>
    <w:rsid w:val="005E77A3"/>
    <w:rsid w:val="005E78E8"/>
    <w:rsid w:val="005E794C"/>
    <w:rsid w:val="005E796D"/>
    <w:rsid w:val="005E7C22"/>
    <w:rsid w:val="005E7D22"/>
    <w:rsid w:val="005E7EA7"/>
    <w:rsid w:val="005E7F90"/>
    <w:rsid w:val="005E7FE0"/>
    <w:rsid w:val="005F07C6"/>
    <w:rsid w:val="005F13B9"/>
    <w:rsid w:val="005F1622"/>
    <w:rsid w:val="005F1DAE"/>
    <w:rsid w:val="005F2412"/>
    <w:rsid w:val="005F2542"/>
    <w:rsid w:val="005F25E3"/>
    <w:rsid w:val="005F283D"/>
    <w:rsid w:val="005F2F5E"/>
    <w:rsid w:val="005F2FF1"/>
    <w:rsid w:val="005F3089"/>
    <w:rsid w:val="005F392D"/>
    <w:rsid w:val="005F3D30"/>
    <w:rsid w:val="005F3DC1"/>
    <w:rsid w:val="005F3EDF"/>
    <w:rsid w:val="005F408C"/>
    <w:rsid w:val="005F4329"/>
    <w:rsid w:val="005F43B3"/>
    <w:rsid w:val="005F46BA"/>
    <w:rsid w:val="005F488E"/>
    <w:rsid w:val="005F48DB"/>
    <w:rsid w:val="005F4980"/>
    <w:rsid w:val="005F4E5C"/>
    <w:rsid w:val="005F502E"/>
    <w:rsid w:val="005F5037"/>
    <w:rsid w:val="005F5050"/>
    <w:rsid w:val="005F55F1"/>
    <w:rsid w:val="005F565D"/>
    <w:rsid w:val="005F5F9B"/>
    <w:rsid w:val="005F63AC"/>
    <w:rsid w:val="005F66AD"/>
    <w:rsid w:val="005F68EA"/>
    <w:rsid w:val="005F6D5D"/>
    <w:rsid w:val="005F755C"/>
    <w:rsid w:val="005F7941"/>
    <w:rsid w:val="005F7992"/>
    <w:rsid w:val="005F79FD"/>
    <w:rsid w:val="005F7F3F"/>
    <w:rsid w:val="00600079"/>
    <w:rsid w:val="0060008B"/>
    <w:rsid w:val="00600142"/>
    <w:rsid w:val="006004B0"/>
    <w:rsid w:val="00600726"/>
    <w:rsid w:val="00600BBE"/>
    <w:rsid w:val="00600D52"/>
    <w:rsid w:val="00601067"/>
    <w:rsid w:val="0060119B"/>
    <w:rsid w:val="00601FA9"/>
    <w:rsid w:val="006021E5"/>
    <w:rsid w:val="0060263C"/>
    <w:rsid w:val="00602967"/>
    <w:rsid w:val="006031F2"/>
    <w:rsid w:val="006033DC"/>
    <w:rsid w:val="006033E8"/>
    <w:rsid w:val="00603CF3"/>
    <w:rsid w:val="00604189"/>
    <w:rsid w:val="0060453B"/>
    <w:rsid w:val="00604789"/>
    <w:rsid w:val="00604B79"/>
    <w:rsid w:val="00604C8B"/>
    <w:rsid w:val="00604CC6"/>
    <w:rsid w:val="00605256"/>
    <w:rsid w:val="00605D42"/>
    <w:rsid w:val="006061D1"/>
    <w:rsid w:val="00606597"/>
    <w:rsid w:val="00606E18"/>
    <w:rsid w:val="00606FF5"/>
    <w:rsid w:val="006073D5"/>
    <w:rsid w:val="00607C80"/>
    <w:rsid w:val="00607FCD"/>
    <w:rsid w:val="006101B8"/>
    <w:rsid w:val="00610719"/>
    <w:rsid w:val="00610D47"/>
    <w:rsid w:val="00611220"/>
    <w:rsid w:val="0061197D"/>
    <w:rsid w:val="006119F5"/>
    <w:rsid w:val="006124D0"/>
    <w:rsid w:val="0061251D"/>
    <w:rsid w:val="00612745"/>
    <w:rsid w:val="00612779"/>
    <w:rsid w:val="0061317A"/>
    <w:rsid w:val="006131AE"/>
    <w:rsid w:val="00613302"/>
    <w:rsid w:val="00613383"/>
    <w:rsid w:val="00613434"/>
    <w:rsid w:val="00613649"/>
    <w:rsid w:val="00613D6A"/>
    <w:rsid w:val="00614119"/>
    <w:rsid w:val="00614970"/>
    <w:rsid w:val="00614B3E"/>
    <w:rsid w:val="00614C7C"/>
    <w:rsid w:val="00614C96"/>
    <w:rsid w:val="00615F2F"/>
    <w:rsid w:val="006164F0"/>
    <w:rsid w:val="006167A4"/>
    <w:rsid w:val="00616857"/>
    <w:rsid w:val="00616A34"/>
    <w:rsid w:val="00616A7C"/>
    <w:rsid w:val="00617056"/>
    <w:rsid w:val="00617219"/>
    <w:rsid w:val="00617229"/>
    <w:rsid w:val="00617B1C"/>
    <w:rsid w:val="00617D51"/>
    <w:rsid w:val="00617DFB"/>
    <w:rsid w:val="00617F85"/>
    <w:rsid w:val="00620511"/>
    <w:rsid w:val="00620AB6"/>
    <w:rsid w:val="00620CE4"/>
    <w:rsid w:val="00620E87"/>
    <w:rsid w:val="00621449"/>
    <w:rsid w:val="00621DCB"/>
    <w:rsid w:val="0062229B"/>
    <w:rsid w:val="00622496"/>
    <w:rsid w:val="006227A2"/>
    <w:rsid w:val="0062329E"/>
    <w:rsid w:val="006238FD"/>
    <w:rsid w:val="00623A8C"/>
    <w:rsid w:val="00623AA2"/>
    <w:rsid w:val="00623F27"/>
    <w:rsid w:val="006240D8"/>
    <w:rsid w:val="00624233"/>
    <w:rsid w:val="0062438D"/>
    <w:rsid w:val="006244F2"/>
    <w:rsid w:val="0062458C"/>
    <w:rsid w:val="00624891"/>
    <w:rsid w:val="00624A4A"/>
    <w:rsid w:val="00624AC0"/>
    <w:rsid w:val="00624BF4"/>
    <w:rsid w:val="00624CEE"/>
    <w:rsid w:val="00624D4E"/>
    <w:rsid w:val="00625010"/>
    <w:rsid w:val="00625202"/>
    <w:rsid w:val="00625B44"/>
    <w:rsid w:val="00625D74"/>
    <w:rsid w:val="0062614D"/>
    <w:rsid w:val="006263BA"/>
    <w:rsid w:val="0062654B"/>
    <w:rsid w:val="0062677D"/>
    <w:rsid w:val="00626D0F"/>
    <w:rsid w:val="0062764B"/>
    <w:rsid w:val="00627975"/>
    <w:rsid w:val="00627E8E"/>
    <w:rsid w:val="006301C8"/>
    <w:rsid w:val="006301EC"/>
    <w:rsid w:val="006301EE"/>
    <w:rsid w:val="006305AE"/>
    <w:rsid w:val="00630787"/>
    <w:rsid w:val="00630829"/>
    <w:rsid w:val="00630A2E"/>
    <w:rsid w:val="00630AFA"/>
    <w:rsid w:val="00630D9A"/>
    <w:rsid w:val="006315BE"/>
    <w:rsid w:val="006317AC"/>
    <w:rsid w:val="00631941"/>
    <w:rsid w:val="00632130"/>
    <w:rsid w:val="00632319"/>
    <w:rsid w:val="00632346"/>
    <w:rsid w:val="00632495"/>
    <w:rsid w:val="00632722"/>
    <w:rsid w:val="006327AD"/>
    <w:rsid w:val="0063288A"/>
    <w:rsid w:val="00632F46"/>
    <w:rsid w:val="00633165"/>
    <w:rsid w:val="006333BA"/>
    <w:rsid w:val="00633B51"/>
    <w:rsid w:val="00633D5E"/>
    <w:rsid w:val="00634BEE"/>
    <w:rsid w:val="00634CF2"/>
    <w:rsid w:val="0063502F"/>
    <w:rsid w:val="006350D2"/>
    <w:rsid w:val="00635126"/>
    <w:rsid w:val="006354D8"/>
    <w:rsid w:val="00635776"/>
    <w:rsid w:val="0063590D"/>
    <w:rsid w:val="00635AF0"/>
    <w:rsid w:val="00636005"/>
    <w:rsid w:val="00636191"/>
    <w:rsid w:val="00636265"/>
    <w:rsid w:val="006364F4"/>
    <w:rsid w:val="00636DE5"/>
    <w:rsid w:val="00636E0D"/>
    <w:rsid w:val="00637278"/>
    <w:rsid w:val="0063770D"/>
    <w:rsid w:val="00637AC9"/>
    <w:rsid w:val="00637C8B"/>
    <w:rsid w:val="00640231"/>
    <w:rsid w:val="0064048C"/>
    <w:rsid w:val="00640CD5"/>
    <w:rsid w:val="00641031"/>
    <w:rsid w:val="00641077"/>
    <w:rsid w:val="00641258"/>
    <w:rsid w:val="00641E10"/>
    <w:rsid w:val="00641F4E"/>
    <w:rsid w:val="00642048"/>
    <w:rsid w:val="006420D8"/>
    <w:rsid w:val="00642195"/>
    <w:rsid w:val="006427BE"/>
    <w:rsid w:val="00642DD8"/>
    <w:rsid w:val="00642FB5"/>
    <w:rsid w:val="00643140"/>
    <w:rsid w:val="00643253"/>
    <w:rsid w:val="0064336F"/>
    <w:rsid w:val="0064367B"/>
    <w:rsid w:val="00643728"/>
    <w:rsid w:val="006439D9"/>
    <w:rsid w:val="00643A09"/>
    <w:rsid w:val="00643B6F"/>
    <w:rsid w:val="00643BDF"/>
    <w:rsid w:val="00643FC5"/>
    <w:rsid w:val="0064400D"/>
    <w:rsid w:val="00644327"/>
    <w:rsid w:val="006443E1"/>
    <w:rsid w:val="00644F58"/>
    <w:rsid w:val="00644F75"/>
    <w:rsid w:val="0064536E"/>
    <w:rsid w:val="006461C0"/>
    <w:rsid w:val="00646237"/>
    <w:rsid w:val="00646C3D"/>
    <w:rsid w:val="006470A6"/>
    <w:rsid w:val="0064713C"/>
    <w:rsid w:val="006471E6"/>
    <w:rsid w:val="0064722F"/>
    <w:rsid w:val="0064727D"/>
    <w:rsid w:val="00647410"/>
    <w:rsid w:val="006478D8"/>
    <w:rsid w:val="006479E5"/>
    <w:rsid w:val="00650116"/>
    <w:rsid w:val="0065034D"/>
    <w:rsid w:val="00650731"/>
    <w:rsid w:val="0065078B"/>
    <w:rsid w:val="00650907"/>
    <w:rsid w:val="00650961"/>
    <w:rsid w:val="00650A2B"/>
    <w:rsid w:val="00650E2F"/>
    <w:rsid w:val="00651051"/>
    <w:rsid w:val="0065106D"/>
    <w:rsid w:val="006512DE"/>
    <w:rsid w:val="0065148E"/>
    <w:rsid w:val="00651581"/>
    <w:rsid w:val="00651740"/>
    <w:rsid w:val="00651A22"/>
    <w:rsid w:val="00651B13"/>
    <w:rsid w:val="00651B63"/>
    <w:rsid w:val="006520DA"/>
    <w:rsid w:val="0065215F"/>
    <w:rsid w:val="00652407"/>
    <w:rsid w:val="00652665"/>
    <w:rsid w:val="00652933"/>
    <w:rsid w:val="006529FA"/>
    <w:rsid w:val="00652F32"/>
    <w:rsid w:val="006531BB"/>
    <w:rsid w:val="0065371B"/>
    <w:rsid w:val="00653A3C"/>
    <w:rsid w:val="00653B18"/>
    <w:rsid w:val="00653EE0"/>
    <w:rsid w:val="00653EF2"/>
    <w:rsid w:val="00654035"/>
    <w:rsid w:val="0065437E"/>
    <w:rsid w:val="006543ED"/>
    <w:rsid w:val="00654684"/>
    <w:rsid w:val="00654C9A"/>
    <w:rsid w:val="00654FC8"/>
    <w:rsid w:val="006555FD"/>
    <w:rsid w:val="00655B46"/>
    <w:rsid w:val="006560FB"/>
    <w:rsid w:val="0065620F"/>
    <w:rsid w:val="00656345"/>
    <w:rsid w:val="0065656E"/>
    <w:rsid w:val="00656C9E"/>
    <w:rsid w:val="00656E6E"/>
    <w:rsid w:val="00656E82"/>
    <w:rsid w:val="00656E8B"/>
    <w:rsid w:val="00657465"/>
    <w:rsid w:val="006574F6"/>
    <w:rsid w:val="0065787C"/>
    <w:rsid w:val="00657C0D"/>
    <w:rsid w:val="00657C3F"/>
    <w:rsid w:val="00657EBC"/>
    <w:rsid w:val="00657F86"/>
    <w:rsid w:val="006615C7"/>
    <w:rsid w:val="0066167A"/>
    <w:rsid w:val="00661CB0"/>
    <w:rsid w:val="00661E60"/>
    <w:rsid w:val="00661FCD"/>
    <w:rsid w:val="00662364"/>
    <w:rsid w:val="006623EE"/>
    <w:rsid w:val="00662557"/>
    <w:rsid w:val="00662909"/>
    <w:rsid w:val="00662929"/>
    <w:rsid w:val="00662A9E"/>
    <w:rsid w:val="00662B63"/>
    <w:rsid w:val="00662DF5"/>
    <w:rsid w:val="00663550"/>
    <w:rsid w:val="006635FB"/>
    <w:rsid w:val="00663BD9"/>
    <w:rsid w:val="00664005"/>
    <w:rsid w:val="00664180"/>
    <w:rsid w:val="006643C0"/>
    <w:rsid w:val="0066449D"/>
    <w:rsid w:val="006644C4"/>
    <w:rsid w:val="006647CE"/>
    <w:rsid w:val="00664DE1"/>
    <w:rsid w:val="00664E88"/>
    <w:rsid w:val="00664F20"/>
    <w:rsid w:val="00664F89"/>
    <w:rsid w:val="006656BC"/>
    <w:rsid w:val="00665AEB"/>
    <w:rsid w:val="00665CEA"/>
    <w:rsid w:val="0066645E"/>
    <w:rsid w:val="0066670B"/>
    <w:rsid w:val="006667C1"/>
    <w:rsid w:val="00666918"/>
    <w:rsid w:val="00666926"/>
    <w:rsid w:val="00666BDC"/>
    <w:rsid w:val="00666DDF"/>
    <w:rsid w:val="00666ECC"/>
    <w:rsid w:val="00667205"/>
    <w:rsid w:val="006673FF"/>
    <w:rsid w:val="00667960"/>
    <w:rsid w:val="00667D5F"/>
    <w:rsid w:val="0067006A"/>
    <w:rsid w:val="00670102"/>
    <w:rsid w:val="006706D5"/>
    <w:rsid w:val="00670E7A"/>
    <w:rsid w:val="00671038"/>
    <w:rsid w:val="006717EA"/>
    <w:rsid w:val="00671A17"/>
    <w:rsid w:val="00671E4A"/>
    <w:rsid w:val="006722AA"/>
    <w:rsid w:val="00672B1C"/>
    <w:rsid w:val="00672B7D"/>
    <w:rsid w:val="006730B7"/>
    <w:rsid w:val="00673255"/>
    <w:rsid w:val="0067330E"/>
    <w:rsid w:val="00673331"/>
    <w:rsid w:val="006733CA"/>
    <w:rsid w:val="006733FE"/>
    <w:rsid w:val="00673599"/>
    <w:rsid w:val="006735EE"/>
    <w:rsid w:val="006735FA"/>
    <w:rsid w:val="00673EAC"/>
    <w:rsid w:val="006740CA"/>
    <w:rsid w:val="006741C4"/>
    <w:rsid w:val="00674853"/>
    <w:rsid w:val="00674915"/>
    <w:rsid w:val="006749C3"/>
    <w:rsid w:val="00674C83"/>
    <w:rsid w:val="00674CEC"/>
    <w:rsid w:val="00674E7C"/>
    <w:rsid w:val="00675351"/>
    <w:rsid w:val="0067580B"/>
    <w:rsid w:val="00676050"/>
    <w:rsid w:val="00676311"/>
    <w:rsid w:val="0067646A"/>
    <w:rsid w:val="006766A4"/>
    <w:rsid w:val="00676ECF"/>
    <w:rsid w:val="00676FB0"/>
    <w:rsid w:val="006771A3"/>
    <w:rsid w:val="0067751F"/>
    <w:rsid w:val="00677752"/>
    <w:rsid w:val="006777FF"/>
    <w:rsid w:val="00677896"/>
    <w:rsid w:val="00677A3A"/>
    <w:rsid w:val="0068025B"/>
    <w:rsid w:val="006804F6"/>
    <w:rsid w:val="00680E94"/>
    <w:rsid w:val="006813DA"/>
    <w:rsid w:val="00681620"/>
    <w:rsid w:val="00681BB8"/>
    <w:rsid w:val="00681C24"/>
    <w:rsid w:val="006824D7"/>
    <w:rsid w:val="006826FF"/>
    <w:rsid w:val="0068276A"/>
    <w:rsid w:val="00682835"/>
    <w:rsid w:val="0068283B"/>
    <w:rsid w:val="00682ECD"/>
    <w:rsid w:val="00683019"/>
    <w:rsid w:val="006832BC"/>
    <w:rsid w:val="006833BC"/>
    <w:rsid w:val="00683E2A"/>
    <w:rsid w:val="00683E3F"/>
    <w:rsid w:val="00683EE0"/>
    <w:rsid w:val="0068443A"/>
    <w:rsid w:val="00684684"/>
    <w:rsid w:val="00684ADB"/>
    <w:rsid w:val="00684C04"/>
    <w:rsid w:val="00684E5E"/>
    <w:rsid w:val="00684EEB"/>
    <w:rsid w:val="00684FB3"/>
    <w:rsid w:val="006850A2"/>
    <w:rsid w:val="006852D4"/>
    <w:rsid w:val="006856F9"/>
    <w:rsid w:val="00685825"/>
    <w:rsid w:val="00685EBB"/>
    <w:rsid w:val="00685FB6"/>
    <w:rsid w:val="006861C8"/>
    <w:rsid w:val="00686803"/>
    <w:rsid w:val="00686A28"/>
    <w:rsid w:val="00686EBC"/>
    <w:rsid w:val="00687377"/>
    <w:rsid w:val="00687939"/>
    <w:rsid w:val="006879B2"/>
    <w:rsid w:val="00687CA5"/>
    <w:rsid w:val="00687CAE"/>
    <w:rsid w:val="00687EA1"/>
    <w:rsid w:val="006901C7"/>
    <w:rsid w:val="006909A2"/>
    <w:rsid w:val="00690AD2"/>
    <w:rsid w:val="00690C9A"/>
    <w:rsid w:val="00690E26"/>
    <w:rsid w:val="00691228"/>
    <w:rsid w:val="0069244F"/>
    <w:rsid w:val="00692495"/>
    <w:rsid w:val="00692770"/>
    <w:rsid w:val="00692E0F"/>
    <w:rsid w:val="00692FE5"/>
    <w:rsid w:val="00693122"/>
    <w:rsid w:val="0069324A"/>
    <w:rsid w:val="006932D3"/>
    <w:rsid w:val="0069334F"/>
    <w:rsid w:val="006933B6"/>
    <w:rsid w:val="006934AF"/>
    <w:rsid w:val="006936A7"/>
    <w:rsid w:val="00693822"/>
    <w:rsid w:val="00693A1A"/>
    <w:rsid w:val="00693C23"/>
    <w:rsid w:val="00693D2F"/>
    <w:rsid w:val="006940DE"/>
    <w:rsid w:val="006947DB"/>
    <w:rsid w:val="00694C37"/>
    <w:rsid w:val="00694F77"/>
    <w:rsid w:val="00695445"/>
    <w:rsid w:val="0069567F"/>
    <w:rsid w:val="00695BF0"/>
    <w:rsid w:val="00695ED4"/>
    <w:rsid w:val="0069628C"/>
    <w:rsid w:val="0069684D"/>
    <w:rsid w:val="00696A97"/>
    <w:rsid w:val="00697366"/>
    <w:rsid w:val="00697817"/>
    <w:rsid w:val="0069796E"/>
    <w:rsid w:val="00697E46"/>
    <w:rsid w:val="006A008E"/>
    <w:rsid w:val="006A08AD"/>
    <w:rsid w:val="006A0BBA"/>
    <w:rsid w:val="006A0C89"/>
    <w:rsid w:val="006A103F"/>
    <w:rsid w:val="006A1777"/>
    <w:rsid w:val="006A2233"/>
    <w:rsid w:val="006A223D"/>
    <w:rsid w:val="006A25A0"/>
    <w:rsid w:val="006A25FB"/>
    <w:rsid w:val="006A2AC6"/>
    <w:rsid w:val="006A2BEA"/>
    <w:rsid w:val="006A2D26"/>
    <w:rsid w:val="006A35DE"/>
    <w:rsid w:val="006A3A47"/>
    <w:rsid w:val="006A3B63"/>
    <w:rsid w:val="006A4239"/>
    <w:rsid w:val="006A4312"/>
    <w:rsid w:val="006A43C3"/>
    <w:rsid w:val="006A4932"/>
    <w:rsid w:val="006A498A"/>
    <w:rsid w:val="006A4C86"/>
    <w:rsid w:val="006A4F81"/>
    <w:rsid w:val="006A4FBE"/>
    <w:rsid w:val="006A5A89"/>
    <w:rsid w:val="006A5D69"/>
    <w:rsid w:val="006A66C0"/>
    <w:rsid w:val="006A6750"/>
    <w:rsid w:val="006A6C70"/>
    <w:rsid w:val="006A6E72"/>
    <w:rsid w:val="006A6F02"/>
    <w:rsid w:val="006A71D6"/>
    <w:rsid w:val="006A73B1"/>
    <w:rsid w:val="006A753B"/>
    <w:rsid w:val="006A786A"/>
    <w:rsid w:val="006A7A41"/>
    <w:rsid w:val="006A7EF7"/>
    <w:rsid w:val="006B0011"/>
    <w:rsid w:val="006B0466"/>
    <w:rsid w:val="006B06FC"/>
    <w:rsid w:val="006B0B57"/>
    <w:rsid w:val="006B1564"/>
    <w:rsid w:val="006B1E06"/>
    <w:rsid w:val="006B22D0"/>
    <w:rsid w:val="006B252F"/>
    <w:rsid w:val="006B2777"/>
    <w:rsid w:val="006B34FB"/>
    <w:rsid w:val="006B3645"/>
    <w:rsid w:val="006B374D"/>
    <w:rsid w:val="006B377E"/>
    <w:rsid w:val="006B38A2"/>
    <w:rsid w:val="006B3967"/>
    <w:rsid w:val="006B3BB7"/>
    <w:rsid w:val="006B42BB"/>
    <w:rsid w:val="006B45A3"/>
    <w:rsid w:val="006B46BB"/>
    <w:rsid w:val="006B4CC5"/>
    <w:rsid w:val="006B4F23"/>
    <w:rsid w:val="006B4F44"/>
    <w:rsid w:val="006B4FC5"/>
    <w:rsid w:val="006B521E"/>
    <w:rsid w:val="006B5702"/>
    <w:rsid w:val="006B68AD"/>
    <w:rsid w:val="006B6F19"/>
    <w:rsid w:val="006B7148"/>
    <w:rsid w:val="006B72F9"/>
    <w:rsid w:val="006B7512"/>
    <w:rsid w:val="006B7843"/>
    <w:rsid w:val="006B7BB3"/>
    <w:rsid w:val="006B7BDA"/>
    <w:rsid w:val="006C0CDA"/>
    <w:rsid w:val="006C0F60"/>
    <w:rsid w:val="006C139A"/>
    <w:rsid w:val="006C1A36"/>
    <w:rsid w:val="006C1D2C"/>
    <w:rsid w:val="006C1DAD"/>
    <w:rsid w:val="006C24CE"/>
    <w:rsid w:val="006C2D43"/>
    <w:rsid w:val="006C2F04"/>
    <w:rsid w:val="006C35E6"/>
    <w:rsid w:val="006C3A73"/>
    <w:rsid w:val="006C3BCF"/>
    <w:rsid w:val="006C3EAF"/>
    <w:rsid w:val="006C4301"/>
    <w:rsid w:val="006C45BC"/>
    <w:rsid w:val="006C49AC"/>
    <w:rsid w:val="006C4AAB"/>
    <w:rsid w:val="006C4FE9"/>
    <w:rsid w:val="006C5708"/>
    <w:rsid w:val="006C5DD9"/>
    <w:rsid w:val="006C6910"/>
    <w:rsid w:val="006C6989"/>
    <w:rsid w:val="006C72EB"/>
    <w:rsid w:val="006C749D"/>
    <w:rsid w:val="006C76CA"/>
    <w:rsid w:val="006C77CA"/>
    <w:rsid w:val="006C7869"/>
    <w:rsid w:val="006C7C28"/>
    <w:rsid w:val="006C7D05"/>
    <w:rsid w:val="006C7DCF"/>
    <w:rsid w:val="006C7ED2"/>
    <w:rsid w:val="006D0273"/>
    <w:rsid w:val="006D0AF7"/>
    <w:rsid w:val="006D0BE8"/>
    <w:rsid w:val="006D10EE"/>
    <w:rsid w:val="006D110B"/>
    <w:rsid w:val="006D1432"/>
    <w:rsid w:val="006D14B7"/>
    <w:rsid w:val="006D1620"/>
    <w:rsid w:val="006D177C"/>
    <w:rsid w:val="006D1D8D"/>
    <w:rsid w:val="006D1E43"/>
    <w:rsid w:val="006D239B"/>
    <w:rsid w:val="006D28D6"/>
    <w:rsid w:val="006D2F1D"/>
    <w:rsid w:val="006D31D3"/>
    <w:rsid w:val="006D3261"/>
    <w:rsid w:val="006D3460"/>
    <w:rsid w:val="006D3723"/>
    <w:rsid w:val="006D38CF"/>
    <w:rsid w:val="006D3A88"/>
    <w:rsid w:val="006D3D5E"/>
    <w:rsid w:val="006D3FAC"/>
    <w:rsid w:val="006D4484"/>
    <w:rsid w:val="006D455B"/>
    <w:rsid w:val="006D4EB3"/>
    <w:rsid w:val="006D4ECB"/>
    <w:rsid w:val="006D5702"/>
    <w:rsid w:val="006D5AF1"/>
    <w:rsid w:val="006D5FE2"/>
    <w:rsid w:val="006D669E"/>
    <w:rsid w:val="006D68C0"/>
    <w:rsid w:val="006D6C55"/>
    <w:rsid w:val="006D739C"/>
    <w:rsid w:val="006D7439"/>
    <w:rsid w:val="006D7780"/>
    <w:rsid w:val="006D787E"/>
    <w:rsid w:val="006D7C68"/>
    <w:rsid w:val="006E08B3"/>
    <w:rsid w:val="006E1272"/>
    <w:rsid w:val="006E128B"/>
    <w:rsid w:val="006E1422"/>
    <w:rsid w:val="006E1605"/>
    <w:rsid w:val="006E1800"/>
    <w:rsid w:val="006E1959"/>
    <w:rsid w:val="006E1D0F"/>
    <w:rsid w:val="006E1E21"/>
    <w:rsid w:val="006E1F1C"/>
    <w:rsid w:val="006E25F2"/>
    <w:rsid w:val="006E2F3B"/>
    <w:rsid w:val="006E312A"/>
    <w:rsid w:val="006E3159"/>
    <w:rsid w:val="006E31BB"/>
    <w:rsid w:val="006E3219"/>
    <w:rsid w:val="006E33D4"/>
    <w:rsid w:val="006E35B3"/>
    <w:rsid w:val="006E35BE"/>
    <w:rsid w:val="006E3822"/>
    <w:rsid w:val="006E388E"/>
    <w:rsid w:val="006E3D90"/>
    <w:rsid w:val="006E4206"/>
    <w:rsid w:val="006E44D0"/>
    <w:rsid w:val="006E46FF"/>
    <w:rsid w:val="006E48B4"/>
    <w:rsid w:val="006E5104"/>
    <w:rsid w:val="006E56A2"/>
    <w:rsid w:val="006E61CA"/>
    <w:rsid w:val="006E6503"/>
    <w:rsid w:val="006E6935"/>
    <w:rsid w:val="006E6946"/>
    <w:rsid w:val="006E6CF9"/>
    <w:rsid w:val="006E6D45"/>
    <w:rsid w:val="006E6E57"/>
    <w:rsid w:val="006E6F21"/>
    <w:rsid w:val="006E6FAA"/>
    <w:rsid w:val="006E7066"/>
    <w:rsid w:val="006E72A5"/>
    <w:rsid w:val="006E78D4"/>
    <w:rsid w:val="006E78E3"/>
    <w:rsid w:val="006E7B58"/>
    <w:rsid w:val="006E7D0C"/>
    <w:rsid w:val="006E7D7B"/>
    <w:rsid w:val="006F0310"/>
    <w:rsid w:val="006F04AF"/>
    <w:rsid w:val="006F072D"/>
    <w:rsid w:val="006F0C99"/>
    <w:rsid w:val="006F0DF1"/>
    <w:rsid w:val="006F1117"/>
    <w:rsid w:val="006F13D3"/>
    <w:rsid w:val="006F1841"/>
    <w:rsid w:val="006F1B19"/>
    <w:rsid w:val="006F1FFE"/>
    <w:rsid w:val="006F249E"/>
    <w:rsid w:val="006F2C91"/>
    <w:rsid w:val="006F2E64"/>
    <w:rsid w:val="006F2EDD"/>
    <w:rsid w:val="006F425E"/>
    <w:rsid w:val="006F4423"/>
    <w:rsid w:val="006F47A5"/>
    <w:rsid w:val="006F4967"/>
    <w:rsid w:val="006F4BE6"/>
    <w:rsid w:val="006F4E51"/>
    <w:rsid w:val="006F558B"/>
    <w:rsid w:val="006F58A8"/>
    <w:rsid w:val="006F656C"/>
    <w:rsid w:val="006F65B7"/>
    <w:rsid w:val="006F6AD2"/>
    <w:rsid w:val="006F6B02"/>
    <w:rsid w:val="006F7326"/>
    <w:rsid w:val="006F7823"/>
    <w:rsid w:val="006F7CEE"/>
    <w:rsid w:val="006F7E99"/>
    <w:rsid w:val="006F7F5E"/>
    <w:rsid w:val="006F7F73"/>
    <w:rsid w:val="007003F7"/>
    <w:rsid w:val="007003FA"/>
    <w:rsid w:val="00700472"/>
    <w:rsid w:val="00700A37"/>
    <w:rsid w:val="00700A76"/>
    <w:rsid w:val="00700CFD"/>
    <w:rsid w:val="0070130F"/>
    <w:rsid w:val="00702142"/>
    <w:rsid w:val="0070217A"/>
    <w:rsid w:val="007023AC"/>
    <w:rsid w:val="007025B6"/>
    <w:rsid w:val="00702768"/>
    <w:rsid w:val="00702A0C"/>
    <w:rsid w:val="00702E04"/>
    <w:rsid w:val="0070300A"/>
    <w:rsid w:val="00703509"/>
    <w:rsid w:val="0070359F"/>
    <w:rsid w:val="0070363C"/>
    <w:rsid w:val="007040AA"/>
    <w:rsid w:val="00704ACB"/>
    <w:rsid w:val="00704B58"/>
    <w:rsid w:val="00704C14"/>
    <w:rsid w:val="00704CC3"/>
    <w:rsid w:val="007051AB"/>
    <w:rsid w:val="00705238"/>
    <w:rsid w:val="007052CE"/>
    <w:rsid w:val="0070546D"/>
    <w:rsid w:val="007059B7"/>
    <w:rsid w:val="00705ADA"/>
    <w:rsid w:val="00705D86"/>
    <w:rsid w:val="00705E84"/>
    <w:rsid w:val="007064C4"/>
    <w:rsid w:val="0070696B"/>
    <w:rsid w:val="00706A13"/>
    <w:rsid w:val="00706AFC"/>
    <w:rsid w:val="007071EF"/>
    <w:rsid w:val="00707811"/>
    <w:rsid w:val="00707A04"/>
    <w:rsid w:val="00707EAD"/>
    <w:rsid w:val="00707F7B"/>
    <w:rsid w:val="007102D9"/>
    <w:rsid w:val="007109A2"/>
    <w:rsid w:val="0071136B"/>
    <w:rsid w:val="00711732"/>
    <w:rsid w:val="0071193E"/>
    <w:rsid w:val="007119E9"/>
    <w:rsid w:val="007128D9"/>
    <w:rsid w:val="00712A29"/>
    <w:rsid w:val="00712ABE"/>
    <w:rsid w:val="00712D36"/>
    <w:rsid w:val="00712DB6"/>
    <w:rsid w:val="00713020"/>
    <w:rsid w:val="007130B3"/>
    <w:rsid w:val="007131BE"/>
    <w:rsid w:val="00713754"/>
    <w:rsid w:val="00713D47"/>
    <w:rsid w:val="00713E1A"/>
    <w:rsid w:val="00714246"/>
    <w:rsid w:val="00714474"/>
    <w:rsid w:val="00714619"/>
    <w:rsid w:val="00714838"/>
    <w:rsid w:val="00714C2C"/>
    <w:rsid w:val="00714E71"/>
    <w:rsid w:val="0071508E"/>
    <w:rsid w:val="0071526B"/>
    <w:rsid w:val="007154A2"/>
    <w:rsid w:val="00715581"/>
    <w:rsid w:val="00715B57"/>
    <w:rsid w:val="00715C5E"/>
    <w:rsid w:val="00715C82"/>
    <w:rsid w:val="007161E7"/>
    <w:rsid w:val="00716273"/>
    <w:rsid w:val="0071641A"/>
    <w:rsid w:val="0071665D"/>
    <w:rsid w:val="007167E2"/>
    <w:rsid w:val="007171D7"/>
    <w:rsid w:val="0071745F"/>
    <w:rsid w:val="007174CF"/>
    <w:rsid w:val="00717B69"/>
    <w:rsid w:val="00720088"/>
    <w:rsid w:val="007202DB"/>
    <w:rsid w:val="007208C2"/>
    <w:rsid w:val="00720B33"/>
    <w:rsid w:val="00720D9B"/>
    <w:rsid w:val="00720DF1"/>
    <w:rsid w:val="00720F11"/>
    <w:rsid w:val="0072110D"/>
    <w:rsid w:val="007211F7"/>
    <w:rsid w:val="00721557"/>
    <w:rsid w:val="007215A0"/>
    <w:rsid w:val="00721689"/>
    <w:rsid w:val="007219BF"/>
    <w:rsid w:val="00721AF1"/>
    <w:rsid w:val="00721F00"/>
    <w:rsid w:val="0072232F"/>
    <w:rsid w:val="007223E3"/>
    <w:rsid w:val="00722430"/>
    <w:rsid w:val="00722605"/>
    <w:rsid w:val="00722631"/>
    <w:rsid w:val="0072270F"/>
    <w:rsid w:val="00722726"/>
    <w:rsid w:val="007227F3"/>
    <w:rsid w:val="007229AE"/>
    <w:rsid w:val="00722C1B"/>
    <w:rsid w:val="007237B6"/>
    <w:rsid w:val="00723995"/>
    <w:rsid w:val="007239E3"/>
    <w:rsid w:val="00723A23"/>
    <w:rsid w:val="00723D75"/>
    <w:rsid w:val="00723E11"/>
    <w:rsid w:val="00723EF1"/>
    <w:rsid w:val="00723FD4"/>
    <w:rsid w:val="0072406D"/>
    <w:rsid w:val="0072437C"/>
    <w:rsid w:val="00724481"/>
    <w:rsid w:val="007249E3"/>
    <w:rsid w:val="00724E85"/>
    <w:rsid w:val="00724FD2"/>
    <w:rsid w:val="00725018"/>
    <w:rsid w:val="007254A0"/>
    <w:rsid w:val="00725D6C"/>
    <w:rsid w:val="00725E52"/>
    <w:rsid w:val="0072624A"/>
    <w:rsid w:val="007264D0"/>
    <w:rsid w:val="0072658C"/>
    <w:rsid w:val="00726715"/>
    <w:rsid w:val="007267C7"/>
    <w:rsid w:val="00726837"/>
    <w:rsid w:val="00726C07"/>
    <w:rsid w:val="00726CC1"/>
    <w:rsid w:val="00726F1E"/>
    <w:rsid w:val="007274AF"/>
    <w:rsid w:val="00727563"/>
    <w:rsid w:val="00727680"/>
    <w:rsid w:val="00727B16"/>
    <w:rsid w:val="00727FB1"/>
    <w:rsid w:val="0073000D"/>
    <w:rsid w:val="00730124"/>
    <w:rsid w:val="007302FB"/>
    <w:rsid w:val="0073079D"/>
    <w:rsid w:val="0073097B"/>
    <w:rsid w:val="00730A43"/>
    <w:rsid w:val="0073128B"/>
    <w:rsid w:val="00731583"/>
    <w:rsid w:val="0073161C"/>
    <w:rsid w:val="00731C83"/>
    <w:rsid w:val="00731ED8"/>
    <w:rsid w:val="0073281E"/>
    <w:rsid w:val="007328F7"/>
    <w:rsid w:val="007329B7"/>
    <w:rsid w:val="00732B71"/>
    <w:rsid w:val="00733AC1"/>
    <w:rsid w:val="00733B86"/>
    <w:rsid w:val="00733F29"/>
    <w:rsid w:val="00733F69"/>
    <w:rsid w:val="00734611"/>
    <w:rsid w:val="00734B42"/>
    <w:rsid w:val="00734C74"/>
    <w:rsid w:val="0073503C"/>
    <w:rsid w:val="007351F6"/>
    <w:rsid w:val="007352F7"/>
    <w:rsid w:val="00735524"/>
    <w:rsid w:val="0073564E"/>
    <w:rsid w:val="00735B6E"/>
    <w:rsid w:val="00735E5A"/>
    <w:rsid w:val="00736208"/>
    <w:rsid w:val="007365F2"/>
    <w:rsid w:val="0073693E"/>
    <w:rsid w:val="00736ADC"/>
    <w:rsid w:val="00736C8B"/>
    <w:rsid w:val="00737199"/>
    <w:rsid w:val="00737477"/>
    <w:rsid w:val="00737707"/>
    <w:rsid w:val="00737812"/>
    <w:rsid w:val="007378AF"/>
    <w:rsid w:val="00737C47"/>
    <w:rsid w:val="00737D0D"/>
    <w:rsid w:val="00740020"/>
    <w:rsid w:val="00740464"/>
    <w:rsid w:val="007405DE"/>
    <w:rsid w:val="00740721"/>
    <w:rsid w:val="00740852"/>
    <w:rsid w:val="00740CC7"/>
    <w:rsid w:val="007414B5"/>
    <w:rsid w:val="00741596"/>
    <w:rsid w:val="00741854"/>
    <w:rsid w:val="0074189E"/>
    <w:rsid w:val="00741D57"/>
    <w:rsid w:val="00741E0D"/>
    <w:rsid w:val="007426DB"/>
    <w:rsid w:val="00742848"/>
    <w:rsid w:val="00743654"/>
    <w:rsid w:val="007437BA"/>
    <w:rsid w:val="00743B08"/>
    <w:rsid w:val="00743BD3"/>
    <w:rsid w:val="00743C79"/>
    <w:rsid w:val="00743D96"/>
    <w:rsid w:val="00744014"/>
    <w:rsid w:val="007443F8"/>
    <w:rsid w:val="00744C79"/>
    <w:rsid w:val="00744FD1"/>
    <w:rsid w:val="00745469"/>
    <w:rsid w:val="00745B63"/>
    <w:rsid w:val="00745DD4"/>
    <w:rsid w:val="00745E8E"/>
    <w:rsid w:val="00745F74"/>
    <w:rsid w:val="00746CEF"/>
    <w:rsid w:val="00746DD1"/>
    <w:rsid w:val="007476B3"/>
    <w:rsid w:val="00747874"/>
    <w:rsid w:val="00747AA6"/>
    <w:rsid w:val="00747D17"/>
    <w:rsid w:val="00747ED0"/>
    <w:rsid w:val="007501C0"/>
    <w:rsid w:val="00750218"/>
    <w:rsid w:val="007504FD"/>
    <w:rsid w:val="0075055C"/>
    <w:rsid w:val="00750B25"/>
    <w:rsid w:val="00750B89"/>
    <w:rsid w:val="00750E69"/>
    <w:rsid w:val="007510AC"/>
    <w:rsid w:val="007512A6"/>
    <w:rsid w:val="00751407"/>
    <w:rsid w:val="00751420"/>
    <w:rsid w:val="00751484"/>
    <w:rsid w:val="00751572"/>
    <w:rsid w:val="00751AA6"/>
    <w:rsid w:val="00751AFF"/>
    <w:rsid w:val="00751D00"/>
    <w:rsid w:val="00751DF3"/>
    <w:rsid w:val="00751ED0"/>
    <w:rsid w:val="007523EA"/>
    <w:rsid w:val="00752B8F"/>
    <w:rsid w:val="00752ED0"/>
    <w:rsid w:val="00752F8E"/>
    <w:rsid w:val="007534FF"/>
    <w:rsid w:val="00753970"/>
    <w:rsid w:val="00753B30"/>
    <w:rsid w:val="00753C57"/>
    <w:rsid w:val="00753CB8"/>
    <w:rsid w:val="00753DB6"/>
    <w:rsid w:val="0075449F"/>
    <w:rsid w:val="00754842"/>
    <w:rsid w:val="007548FB"/>
    <w:rsid w:val="00754934"/>
    <w:rsid w:val="00754B09"/>
    <w:rsid w:val="00754F8C"/>
    <w:rsid w:val="007552A8"/>
    <w:rsid w:val="00755656"/>
    <w:rsid w:val="0075565E"/>
    <w:rsid w:val="00755ACE"/>
    <w:rsid w:val="00755DF5"/>
    <w:rsid w:val="00756A97"/>
    <w:rsid w:val="00756E80"/>
    <w:rsid w:val="00756F23"/>
    <w:rsid w:val="007572B9"/>
    <w:rsid w:val="0075732C"/>
    <w:rsid w:val="00757475"/>
    <w:rsid w:val="007576E7"/>
    <w:rsid w:val="00757946"/>
    <w:rsid w:val="00757A74"/>
    <w:rsid w:val="00757CF2"/>
    <w:rsid w:val="00757D80"/>
    <w:rsid w:val="00757D88"/>
    <w:rsid w:val="00760239"/>
    <w:rsid w:val="007606C9"/>
    <w:rsid w:val="00760D8F"/>
    <w:rsid w:val="007610E0"/>
    <w:rsid w:val="007611ED"/>
    <w:rsid w:val="007614D8"/>
    <w:rsid w:val="00761DA0"/>
    <w:rsid w:val="00761DFA"/>
    <w:rsid w:val="00761FCF"/>
    <w:rsid w:val="00762102"/>
    <w:rsid w:val="0076239E"/>
    <w:rsid w:val="007625E7"/>
    <w:rsid w:val="00762A72"/>
    <w:rsid w:val="00763207"/>
    <w:rsid w:val="00763511"/>
    <w:rsid w:val="00763955"/>
    <w:rsid w:val="00763BDE"/>
    <w:rsid w:val="00764223"/>
    <w:rsid w:val="00764311"/>
    <w:rsid w:val="00764CC5"/>
    <w:rsid w:val="00764D87"/>
    <w:rsid w:val="007656F4"/>
    <w:rsid w:val="00765ED8"/>
    <w:rsid w:val="00766192"/>
    <w:rsid w:val="00766846"/>
    <w:rsid w:val="00766A42"/>
    <w:rsid w:val="00766CF6"/>
    <w:rsid w:val="00766D52"/>
    <w:rsid w:val="00766E6B"/>
    <w:rsid w:val="00767243"/>
    <w:rsid w:val="007672A0"/>
    <w:rsid w:val="0076743E"/>
    <w:rsid w:val="00767824"/>
    <w:rsid w:val="007679EA"/>
    <w:rsid w:val="00767A5D"/>
    <w:rsid w:val="00767B77"/>
    <w:rsid w:val="0077010D"/>
    <w:rsid w:val="007701E5"/>
    <w:rsid w:val="00770302"/>
    <w:rsid w:val="00770334"/>
    <w:rsid w:val="00770498"/>
    <w:rsid w:val="00770652"/>
    <w:rsid w:val="0077082E"/>
    <w:rsid w:val="00771310"/>
    <w:rsid w:val="007719B5"/>
    <w:rsid w:val="00771EE9"/>
    <w:rsid w:val="00771FE3"/>
    <w:rsid w:val="0077276B"/>
    <w:rsid w:val="0077299E"/>
    <w:rsid w:val="00772BF3"/>
    <w:rsid w:val="007731A0"/>
    <w:rsid w:val="00773260"/>
    <w:rsid w:val="007736F1"/>
    <w:rsid w:val="00773900"/>
    <w:rsid w:val="00773FCA"/>
    <w:rsid w:val="0077448B"/>
    <w:rsid w:val="00774F04"/>
    <w:rsid w:val="00774F6B"/>
    <w:rsid w:val="007757FA"/>
    <w:rsid w:val="00775A0E"/>
    <w:rsid w:val="00775C15"/>
    <w:rsid w:val="00775D0A"/>
    <w:rsid w:val="007762A4"/>
    <w:rsid w:val="00777499"/>
    <w:rsid w:val="007775E6"/>
    <w:rsid w:val="0077760F"/>
    <w:rsid w:val="007779B1"/>
    <w:rsid w:val="00777C81"/>
    <w:rsid w:val="00777F0B"/>
    <w:rsid w:val="00777FCF"/>
    <w:rsid w:val="007801A2"/>
    <w:rsid w:val="00780C26"/>
    <w:rsid w:val="00780C27"/>
    <w:rsid w:val="00781095"/>
    <w:rsid w:val="00781282"/>
    <w:rsid w:val="0078133F"/>
    <w:rsid w:val="007813CB"/>
    <w:rsid w:val="007815D8"/>
    <w:rsid w:val="007816DD"/>
    <w:rsid w:val="007820DE"/>
    <w:rsid w:val="00782110"/>
    <w:rsid w:val="007822B0"/>
    <w:rsid w:val="0078256F"/>
    <w:rsid w:val="00782615"/>
    <w:rsid w:val="00782AEE"/>
    <w:rsid w:val="00782F89"/>
    <w:rsid w:val="007830D5"/>
    <w:rsid w:val="00783134"/>
    <w:rsid w:val="00783422"/>
    <w:rsid w:val="0078363E"/>
    <w:rsid w:val="007839EB"/>
    <w:rsid w:val="00784036"/>
    <w:rsid w:val="0078425C"/>
    <w:rsid w:val="007843D0"/>
    <w:rsid w:val="007845B5"/>
    <w:rsid w:val="0078507B"/>
    <w:rsid w:val="007851CA"/>
    <w:rsid w:val="00785495"/>
    <w:rsid w:val="007859BA"/>
    <w:rsid w:val="00785B89"/>
    <w:rsid w:val="007863D3"/>
    <w:rsid w:val="00786B89"/>
    <w:rsid w:val="00787017"/>
    <w:rsid w:val="0078703D"/>
    <w:rsid w:val="007871A2"/>
    <w:rsid w:val="0078745F"/>
    <w:rsid w:val="007877A1"/>
    <w:rsid w:val="00787A5A"/>
    <w:rsid w:val="00787D56"/>
    <w:rsid w:val="00787DB2"/>
    <w:rsid w:val="007906E2"/>
    <w:rsid w:val="00790720"/>
    <w:rsid w:val="007907E6"/>
    <w:rsid w:val="00790BFF"/>
    <w:rsid w:val="00791049"/>
    <w:rsid w:val="00791053"/>
    <w:rsid w:val="00791520"/>
    <w:rsid w:val="0079166E"/>
    <w:rsid w:val="00791A79"/>
    <w:rsid w:val="00791C14"/>
    <w:rsid w:val="00791E04"/>
    <w:rsid w:val="00792056"/>
    <w:rsid w:val="00792423"/>
    <w:rsid w:val="00792426"/>
    <w:rsid w:val="00792B19"/>
    <w:rsid w:val="00792BBE"/>
    <w:rsid w:val="00793632"/>
    <w:rsid w:val="0079383A"/>
    <w:rsid w:val="00793ACE"/>
    <w:rsid w:val="00793E20"/>
    <w:rsid w:val="00794172"/>
    <w:rsid w:val="00794191"/>
    <w:rsid w:val="0079439A"/>
    <w:rsid w:val="00794F0D"/>
    <w:rsid w:val="00794F90"/>
    <w:rsid w:val="00795021"/>
    <w:rsid w:val="007952AF"/>
    <w:rsid w:val="00796163"/>
    <w:rsid w:val="0079673B"/>
    <w:rsid w:val="00796781"/>
    <w:rsid w:val="00796B08"/>
    <w:rsid w:val="00796D11"/>
    <w:rsid w:val="007970E5"/>
    <w:rsid w:val="00797EA2"/>
    <w:rsid w:val="007A000A"/>
    <w:rsid w:val="007A020C"/>
    <w:rsid w:val="007A02E8"/>
    <w:rsid w:val="007A03C6"/>
    <w:rsid w:val="007A043F"/>
    <w:rsid w:val="007A0570"/>
    <w:rsid w:val="007A0B9C"/>
    <w:rsid w:val="007A0E02"/>
    <w:rsid w:val="007A0EA5"/>
    <w:rsid w:val="007A11F5"/>
    <w:rsid w:val="007A123F"/>
    <w:rsid w:val="007A13E8"/>
    <w:rsid w:val="007A17E5"/>
    <w:rsid w:val="007A1845"/>
    <w:rsid w:val="007A1974"/>
    <w:rsid w:val="007A3BAD"/>
    <w:rsid w:val="007A3D52"/>
    <w:rsid w:val="007A3F26"/>
    <w:rsid w:val="007A429D"/>
    <w:rsid w:val="007A42A4"/>
    <w:rsid w:val="007A4783"/>
    <w:rsid w:val="007A4D24"/>
    <w:rsid w:val="007A4DCF"/>
    <w:rsid w:val="007A51A7"/>
    <w:rsid w:val="007A5DC8"/>
    <w:rsid w:val="007A5EA5"/>
    <w:rsid w:val="007A61F4"/>
    <w:rsid w:val="007A6558"/>
    <w:rsid w:val="007A6955"/>
    <w:rsid w:val="007A6AC0"/>
    <w:rsid w:val="007A6D40"/>
    <w:rsid w:val="007A7678"/>
    <w:rsid w:val="007A7881"/>
    <w:rsid w:val="007A78FA"/>
    <w:rsid w:val="007A7932"/>
    <w:rsid w:val="007A7AB6"/>
    <w:rsid w:val="007A7C06"/>
    <w:rsid w:val="007A7CE7"/>
    <w:rsid w:val="007A7E01"/>
    <w:rsid w:val="007B03F5"/>
    <w:rsid w:val="007B0912"/>
    <w:rsid w:val="007B0F12"/>
    <w:rsid w:val="007B1859"/>
    <w:rsid w:val="007B189B"/>
    <w:rsid w:val="007B1D79"/>
    <w:rsid w:val="007B1E86"/>
    <w:rsid w:val="007B2431"/>
    <w:rsid w:val="007B258A"/>
    <w:rsid w:val="007B25CD"/>
    <w:rsid w:val="007B26D4"/>
    <w:rsid w:val="007B2BFF"/>
    <w:rsid w:val="007B2C8B"/>
    <w:rsid w:val="007B2D38"/>
    <w:rsid w:val="007B2E17"/>
    <w:rsid w:val="007B337E"/>
    <w:rsid w:val="007B3CBE"/>
    <w:rsid w:val="007B4002"/>
    <w:rsid w:val="007B460C"/>
    <w:rsid w:val="007B46C9"/>
    <w:rsid w:val="007B4F56"/>
    <w:rsid w:val="007B4FEB"/>
    <w:rsid w:val="007B5509"/>
    <w:rsid w:val="007B56CA"/>
    <w:rsid w:val="007B58EB"/>
    <w:rsid w:val="007B5B18"/>
    <w:rsid w:val="007B5B5D"/>
    <w:rsid w:val="007B643B"/>
    <w:rsid w:val="007B6C85"/>
    <w:rsid w:val="007B7100"/>
    <w:rsid w:val="007B75C1"/>
    <w:rsid w:val="007B76BF"/>
    <w:rsid w:val="007B7B69"/>
    <w:rsid w:val="007B7BF6"/>
    <w:rsid w:val="007B7F4B"/>
    <w:rsid w:val="007C014D"/>
    <w:rsid w:val="007C0311"/>
    <w:rsid w:val="007C06A7"/>
    <w:rsid w:val="007C0A29"/>
    <w:rsid w:val="007C0EE6"/>
    <w:rsid w:val="007C0F03"/>
    <w:rsid w:val="007C170A"/>
    <w:rsid w:val="007C1863"/>
    <w:rsid w:val="007C1EAF"/>
    <w:rsid w:val="007C2017"/>
    <w:rsid w:val="007C2332"/>
    <w:rsid w:val="007C23EA"/>
    <w:rsid w:val="007C23FA"/>
    <w:rsid w:val="007C2563"/>
    <w:rsid w:val="007C27C6"/>
    <w:rsid w:val="007C2A3E"/>
    <w:rsid w:val="007C2AEE"/>
    <w:rsid w:val="007C2CE6"/>
    <w:rsid w:val="007C2E34"/>
    <w:rsid w:val="007C2EA1"/>
    <w:rsid w:val="007C2EFF"/>
    <w:rsid w:val="007C3354"/>
    <w:rsid w:val="007C3363"/>
    <w:rsid w:val="007C3D53"/>
    <w:rsid w:val="007C402F"/>
    <w:rsid w:val="007C485E"/>
    <w:rsid w:val="007C488C"/>
    <w:rsid w:val="007C48BE"/>
    <w:rsid w:val="007C4B0A"/>
    <w:rsid w:val="007C4D11"/>
    <w:rsid w:val="007C50AD"/>
    <w:rsid w:val="007C50FA"/>
    <w:rsid w:val="007C51D4"/>
    <w:rsid w:val="007C5524"/>
    <w:rsid w:val="007C5610"/>
    <w:rsid w:val="007C5635"/>
    <w:rsid w:val="007C5BFF"/>
    <w:rsid w:val="007C5D1D"/>
    <w:rsid w:val="007C6052"/>
    <w:rsid w:val="007C6099"/>
    <w:rsid w:val="007C700A"/>
    <w:rsid w:val="007C7B3A"/>
    <w:rsid w:val="007C7BF3"/>
    <w:rsid w:val="007C7EAC"/>
    <w:rsid w:val="007D00CF"/>
    <w:rsid w:val="007D019A"/>
    <w:rsid w:val="007D02CF"/>
    <w:rsid w:val="007D0897"/>
    <w:rsid w:val="007D0B12"/>
    <w:rsid w:val="007D0F7D"/>
    <w:rsid w:val="007D147F"/>
    <w:rsid w:val="007D14E4"/>
    <w:rsid w:val="007D1511"/>
    <w:rsid w:val="007D1A60"/>
    <w:rsid w:val="007D1B0B"/>
    <w:rsid w:val="007D1DFC"/>
    <w:rsid w:val="007D223B"/>
    <w:rsid w:val="007D23D1"/>
    <w:rsid w:val="007D28F7"/>
    <w:rsid w:val="007D2C12"/>
    <w:rsid w:val="007D2FB0"/>
    <w:rsid w:val="007D3034"/>
    <w:rsid w:val="007D3929"/>
    <w:rsid w:val="007D3EF3"/>
    <w:rsid w:val="007D4175"/>
    <w:rsid w:val="007D432C"/>
    <w:rsid w:val="007D4524"/>
    <w:rsid w:val="007D5171"/>
    <w:rsid w:val="007D5CDB"/>
    <w:rsid w:val="007D603E"/>
    <w:rsid w:val="007D6137"/>
    <w:rsid w:val="007D627E"/>
    <w:rsid w:val="007D6932"/>
    <w:rsid w:val="007D69AD"/>
    <w:rsid w:val="007D6B1B"/>
    <w:rsid w:val="007D6EE9"/>
    <w:rsid w:val="007D70C5"/>
    <w:rsid w:val="007D715F"/>
    <w:rsid w:val="007D71A5"/>
    <w:rsid w:val="007D731C"/>
    <w:rsid w:val="007D73FF"/>
    <w:rsid w:val="007D78EE"/>
    <w:rsid w:val="007D7C8B"/>
    <w:rsid w:val="007D7EDB"/>
    <w:rsid w:val="007D7F7B"/>
    <w:rsid w:val="007E03BE"/>
    <w:rsid w:val="007E062F"/>
    <w:rsid w:val="007E0907"/>
    <w:rsid w:val="007E115F"/>
    <w:rsid w:val="007E15BD"/>
    <w:rsid w:val="007E1CC7"/>
    <w:rsid w:val="007E1E28"/>
    <w:rsid w:val="007E1ED4"/>
    <w:rsid w:val="007E2355"/>
    <w:rsid w:val="007E2473"/>
    <w:rsid w:val="007E265E"/>
    <w:rsid w:val="007E2704"/>
    <w:rsid w:val="007E27C7"/>
    <w:rsid w:val="007E28D1"/>
    <w:rsid w:val="007E33BC"/>
    <w:rsid w:val="007E36F5"/>
    <w:rsid w:val="007E37BC"/>
    <w:rsid w:val="007E3D43"/>
    <w:rsid w:val="007E3E52"/>
    <w:rsid w:val="007E4572"/>
    <w:rsid w:val="007E4877"/>
    <w:rsid w:val="007E4ADF"/>
    <w:rsid w:val="007E4B93"/>
    <w:rsid w:val="007E5385"/>
    <w:rsid w:val="007E5402"/>
    <w:rsid w:val="007E579E"/>
    <w:rsid w:val="007E5A77"/>
    <w:rsid w:val="007E5D6F"/>
    <w:rsid w:val="007E5EA4"/>
    <w:rsid w:val="007E607A"/>
    <w:rsid w:val="007E69BA"/>
    <w:rsid w:val="007E6BB8"/>
    <w:rsid w:val="007E6D12"/>
    <w:rsid w:val="007E6D47"/>
    <w:rsid w:val="007E6EA9"/>
    <w:rsid w:val="007E7C77"/>
    <w:rsid w:val="007E7FB6"/>
    <w:rsid w:val="007F024D"/>
    <w:rsid w:val="007F0989"/>
    <w:rsid w:val="007F0AD9"/>
    <w:rsid w:val="007F12B6"/>
    <w:rsid w:val="007F16F9"/>
    <w:rsid w:val="007F1C16"/>
    <w:rsid w:val="007F205B"/>
    <w:rsid w:val="007F22B0"/>
    <w:rsid w:val="007F24EA"/>
    <w:rsid w:val="007F2A53"/>
    <w:rsid w:val="007F2D89"/>
    <w:rsid w:val="007F34BE"/>
    <w:rsid w:val="007F3506"/>
    <w:rsid w:val="007F35C0"/>
    <w:rsid w:val="007F37BE"/>
    <w:rsid w:val="007F3F2E"/>
    <w:rsid w:val="007F4853"/>
    <w:rsid w:val="007F48FA"/>
    <w:rsid w:val="007F5059"/>
    <w:rsid w:val="007F50E0"/>
    <w:rsid w:val="007F59D9"/>
    <w:rsid w:val="007F5BDC"/>
    <w:rsid w:val="007F5EA1"/>
    <w:rsid w:val="007F653C"/>
    <w:rsid w:val="007F6746"/>
    <w:rsid w:val="007F6BFC"/>
    <w:rsid w:val="007F6DCE"/>
    <w:rsid w:val="007F70ED"/>
    <w:rsid w:val="007F7686"/>
    <w:rsid w:val="007F7B40"/>
    <w:rsid w:val="007F7CFB"/>
    <w:rsid w:val="007F7F16"/>
    <w:rsid w:val="007F7F88"/>
    <w:rsid w:val="00800394"/>
    <w:rsid w:val="008009C2"/>
    <w:rsid w:val="0080166F"/>
    <w:rsid w:val="00801DAD"/>
    <w:rsid w:val="008021B5"/>
    <w:rsid w:val="008024F6"/>
    <w:rsid w:val="008025D6"/>
    <w:rsid w:val="00802E39"/>
    <w:rsid w:val="00803260"/>
    <w:rsid w:val="00803372"/>
    <w:rsid w:val="0080347F"/>
    <w:rsid w:val="00803B91"/>
    <w:rsid w:val="00803E5A"/>
    <w:rsid w:val="0080495A"/>
    <w:rsid w:val="00804A1F"/>
    <w:rsid w:val="00804A52"/>
    <w:rsid w:val="00804F13"/>
    <w:rsid w:val="00804F2F"/>
    <w:rsid w:val="008050CD"/>
    <w:rsid w:val="0080577E"/>
    <w:rsid w:val="00805D8F"/>
    <w:rsid w:val="0080615F"/>
    <w:rsid w:val="0080739A"/>
    <w:rsid w:val="008074C9"/>
    <w:rsid w:val="00807759"/>
    <w:rsid w:val="00807A85"/>
    <w:rsid w:val="008100C6"/>
    <w:rsid w:val="00810110"/>
    <w:rsid w:val="008101A9"/>
    <w:rsid w:val="0081060E"/>
    <w:rsid w:val="00810A2F"/>
    <w:rsid w:val="00810B29"/>
    <w:rsid w:val="00810D9D"/>
    <w:rsid w:val="00810F2C"/>
    <w:rsid w:val="00811021"/>
    <w:rsid w:val="00811421"/>
    <w:rsid w:val="0081162E"/>
    <w:rsid w:val="00811A4E"/>
    <w:rsid w:val="00811AFE"/>
    <w:rsid w:val="00811E40"/>
    <w:rsid w:val="008120F9"/>
    <w:rsid w:val="008126FF"/>
    <w:rsid w:val="00812999"/>
    <w:rsid w:val="00812B74"/>
    <w:rsid w:val="00812B7F"/>
    <w:rsid w:val="00812C37"/>
    <w:rsid w:val="00813159"/>
    <w:rsid w:val="00813162"/>
    <w:rsid w:val="00813E2E"/>
    <w:rsid w:val="00814304"/>
    <w:rsid w:val="008146EC"/>
    <w:rsid w:val="00814AA6"/>
    <w:rsid w:val="00814CD3"/>
    <w:rsid w:val="00814D39"/>
    <w:rsid w:val="00814D4B"/>
    <w:rsid w:val="00815431"/>
    <w:rsid w:val="00815797"/>
    <w:rsid w:val="008157AC"/>
    <w:rsid w:val="00815A60"/>
    <w:rsid w:val="00815FC3"/>
    <w:rsid w:val="00815FEA"/>
    <w:rsid w:val="00817088"/>
    <w:rsid w:val="0081727B"/>
    <w:rsid w:val="00817326"/>
    <w:rsid w:val="0081787F"/>
    <w:rsid w:val="0081792E"/>
    <w:rsid w:val="00817BB2"/>
    <w:rsid w:val="00817CFD"/>
    <w:rsid w:val="00817D2E"/>
    <w:rsid w:val="00820141"/>
    <w:rsid w:val="008203DF"/>
    <w:rsid w:val="008204CB"/>
    <w:rsid w:val="00820818"/>
    <w:rsid w:val="00820929"/>
    <w:rsid w:val="00820987"/>
    <w:rsid w:val="00820AE8"/>
    <w:rsid w:val="00820C24"/>
    <w:rsid w:val="00820CAE"/>
    <w:rsid w:val="00820F02"/>
    <w:rsid w:val="00820FD3"/>
    <w:rsid w:val="00821056"/>
    <w:rsid w:val="008210E9"/>
    <w:rsid w:val="00821600"/>
    <w:rsid w:val="0082167F"/>
    <w:rsid w:val="00821AAA"/>
    <w:rsid w:val="00821DC3"/>
    <w:rsid w:val="00822B7A"/>
    <w:rsid w:val="00822BAE"/>
    <w:rsid w:val="00822CF9"/>
    <w:rsid w:val="00822E8F"/>
    <w:rsid w:val="00822F59"/>
    <w:rsid w:val="00822F81"/>
    <w:rsid w:val="0082359B"/>
    <w:rsid w:val="00823832"/>
    <w:rsid w:val="008239DC"/>
    <w:rsid w:val="00823C2B"/>
    <w:rsid w:val="00823CF1"/>
    <w:rsid w:val="00823CFD"/>
    <w:rsid w:val="00823D82"/>
    <w:rsid w:val="00823EB2"/>
    <w:rsid w:val="00824005"/>
    <w:rsid w:val="00824611"/>
    <w:rsid w:val="0082479E"/>
    <w:rsid w:val="00824B38"/>
    <w:rsid w:val="00824BBF"/>
    <w:rsid w:val="008252A2"/>
    <w:rsid w:val="00825687"/>
    <w:rsid w:val="0082573A"/>
    <w:rsid w:val="00825AAA"/>
    <w:rsid w:val="00825BA2"/>
    <w:rsid w:val="00825C72"/>
    <w:rsid w:val="008267F1"/>
    <w:rsid w:val="00826857"/>
    <w:rsid w:val="00826D50"/>
    <w:rsid w:val="00826DF1"/>
    <w:rsid w:val="00827176"/>
    <w:rsid w:val="0082731D"/>
    <w:rsid w:val="008275C7"/>
    <w:rsid w:val="008278CC"/>
    <w:rsid w:val="00827A32"/>
    <w:rsid w:val="00827B74"/>
    <w:rsid w:val="008301CA"/>
    <w:rsid w:val="00830241"/>
    <w:rsid w:val="00830AAE"/>
    <w:rsid w:val="00830BD7"/>
    <w:rsid w:val="00830E11"/>
    <w:rsid w:val="00830FA1"/>
    <w:rsid w:val="008314E2"/>
    <w:rsid w:val="008315BE"/>
    <w:rsid w:val="0083169B"/>
    <w:rsid w:val="0083172A"/>
    <w:rsid w:val="00831757"/>
    <w:rsid w:val="008317C9"/>
    <w:rsid w:val="00831D74"/>
    <w:rsid w:val="00831FA6"/>
    <w:rsid w:val="008323DA"/>
    <w:rsid w:val="0083254E"/>
    <w:rsid w:val="0083289B"/>
    <w:rsid w:val="00832DC3"/>
    <w:rsid w:val="0083309A"/>
    <w:rsid w:val="00833277"/>
    <w:rsid w:val="00833954"/>
    <w:rsid w:val="00833E4D"/>
    <w:rsid w:val="00834842"/>
    <w:rsid w:val="0083494F"/>
    <w:rsid w:val="008349B1"/>
    <w:rsid w:val="00834EE8"/>
    <w:rsid w:val="008359B8"/>
    <w:rsid w:val="00835C8A"/>
    <w:rsid w:val="00835D91"/>
    <w:rsid w:val="008362FA"/>
    <w:rsid w:val="008366CC"/>
    <w:rsid w:val="008369A0"/>
    <w:rsid w:val="00836BBA"/>
    <w:rsid w:val="00836D81"/>
    <w:rsid w:val="00837394"/>
    <w:rsid w:val="00837691"/>
    <w:rsid w:val="008376EF"/>
    <w:rsid w:val="00837807"/>
    <w:rsid w:val="0083780E"/>
    <w:rsid w:val="00837916"/>
    <w:rsid w:val="00840287"/>
    <w:rsid w:val="008405E2"/>
    <w:rsid w:val="008406C1"/>
    <w:rsid w:val="00840EA1"/>
    <w:rsid w:val="00841056"/>
    <w:rsid w:val="0084113D"/>
    <w:rsid w:val="008411FB"/>
    <w:rsid w:val="00841A54"/>
    <w:rsid w:val="00841BC5"/>
    <w:rsid w:val="008422E5"/>
    <w:rsid w:val="008423B6"/>
    <w:rsid w:val="008424C5"/>
    <w:rsid w:val="00842509"/>
    <w:rsid w:val="00842CA4"/>
    <w:rsid w:val="00842CE8"/>
    <w:rsid w:val="00842D6A"/>
    <w:rsid w:val="00842F60"/>
    <w:rsid w:val="00843743"/>
    <w:rsid w:val="008438B8"/>
    <w:rsid w:val="00843C34"/>
    <w:rsid w:val="00843D56"/>
    <w:rsid w:val="00843DC6"/>
    <w:rsid w:val="0084417B"/>
    <w:rsid w:val="00844221"/>
    <w:rsid w:val="00844338"/>
    <w:rsid w:val="00844362"/>
    <w:rsid w:val="00844590"/>
    <w:rsid w:val="00844BC9"/>
    <w:rsid w:val="008452C0"/>
    <w:rsid w:val="00845505"/>
    <w:rsid w:val="0084555D"/>
    <w:rsid w:val="00845720"/>
    <w:rsid w:val="008459EB"/>
    <w:rsid w:val="00845C58"/>
    <w:rsid w:val="00845E69"/>
    <w:rsid w:val="00846022"/>
    <w:rsid w:val="008461DD"/>
    <w:rsid w:val="008467EC"/>
    <w:rsid w:val="008472A6"/>
    <w:rsid w:val="008472CF"/>
    <w:rsid w:val="008473CE"/>
    <w:rsid w:val="00847529"/>
    <w:rsid w:val="0084780F"/>
    <w:rsid w:val="00847AE0"/>
    <w:rsid w:val="00847EB9"/>
    <w:rsid w:val="00847F20"/>
    <w:rsid w:val="00847F50"/>
    <w:rsid w:val="00847FA6"/>
    <w:rsid w:val="00850083"/>
    <w:rsid w:val="008504EF"/>
    <w:rsid w:val="00850833"/>
    <w:rsid w:val="00850DCF"/>
    <w:rsid w:val="008514AC"/>
    <w:rsid w:val="00851598"/>
    <w:rsid w:val="00851ABD"/>
    <w:rsid w:val="00851D4F"/>
    <w:rsid w:val="00851DEF"/>
    <w:rsid w:val="00852091"/>
    <w:rsid w:val="008523D0"/>
    <w:rsid w:val="00852B7B"/>
    <w:rsid w:val="00853A9E"/>
    <w:rsid w:val="00854133"/>
    <w:rsid w:val="008544C9"/>
    <w:rsid w:val="008544CB"/>
    <w:rsid w:val="008547CC"/>
    <w:rsid w:val="008549D5"/>
    <w:rsid w:val="00854C9A"/>
    <w:rsid w:val="00854DED"/>
    <w:rsid w:val="008555EE"/>
    <w:rsid w:val="00855E0F"/>
    <w:rsid w:val="00855F49"/>
    <w:rsid w:val="008561C6"/>
    <w:rsid w:val="008562B8"/>
    <w:rsid w:val="00856494"/>
    <w:rsid w:val="008566E4"/>
    <w:rsid w:val="00856711"/>
    <w:rsid w:val="00856735"/>
    <w:rsid w:val="008568F2"/>
    <w:rsid w:val="00856AE9"/>
    <w:rsid w:val="00856D00"/>
    <w:rsid w:val="00857747"/>
    <w:rsid w:val="008578A9"/>
    <w:rsid w:val="00857921"/>
    <w:rsid w:val="00860149"/>
    <w:rsid w:val="00860A78"/>
    <w:rsid w:val="00860ABB"/>
    <w:rsid w:val="0086135B"/>
    <w:rsid w:val="008613D7"/>
    <w:rsid w:val="008623FE"/>
    <w:rsid w:val="008625AC"/>
    <w:rsid w:val="00862EEB"/>
    <w:rsid w:val="00862F08"/>
    <w:rsid w:val="0086305F"/>
    <w:rsid w:val="00863210"/>
    <w:rsid w:val="0086334D"/>
    <w:rsid w:val="00863715"/>
    <w:rsid w:val="00863B7F"/>
    <w:rsid w:val="00864024"/>
    <w:rsid w:val="00864619"/>
    <w:rsid w:val="00865218"/>
    <w:rsid w:val="008654B5"/>
    <w:rsid w:val="00865773"/>
    <w:rsid w:val="00865A3E"/>
    <w:rsid w:val="008661BF"/>
    <w:rsid w:val="008664EC"/>
    <w:rsid w:val="0086661B"/>
    <w:rsid w:val="008667D7"/>
    <w:rsid w:val="00866D71"/>
    <w:rsid w:val="00866E07"/>
    <w:rsid w:val="00866E3D"/>
    <w:rsid w:val="00867096"/>
    <w:rsid w:val="0086710B"/>
    <w:rsid w:val="0086746C"/>
    <w:rsid w:val="0086770F"/>
    <w:rsid w:val="00867AD1"/>
    <w:rsid w:val="00867B55"/>
    <w:rsid w:val="00867C26"/>
    <w:rsid w:val="00867E23"/>
    <w:rsid w:val="00867EAD"/>
    <w:rsid w:val="008701C4"/>
    <w:rsid w:val="008703B7"/>
    <w:rsid w:val="0087076D"/>
    <w:rsid w:val="008707E4"/>
    <w:rsid w:val="00870860"/>
    <w:rsid w:val="008708AC"/>
    <w:rsid w:val="00870AB0"/>
    <w:rsid w:val="00870D8E"/>
    <w:rsid w:val="00870DD2"/>
    <w:rsid w:val="00870FEC"/>
    <w:rsid w:val="008711C4"/>
    <w:rsid w:val="0087148A"/>
    <w:rsid w:val="00871A56"/>
    <w:rsid w:val="00871CB5"/>
    <w:rsid w:val="0087206E"/>
    <w:rsid w:val="00872460"/>
    <w:rsid w:val="00872CA6"/>
    <w:rsid w:val="00872F4F"/>
    <w:rsid w:val="00873274"/>
    <w:rsid w:val="008738E2"/>
    <w:rsid w:val="00873B42"/>
    <w:rsid w:val="00873BD8"/>
    <w:rsid w:val="00874159"/>
    <w:rsid w:val="00874171"/>
    <w:rsid w:val="00874226"/>
    <w:rsid w:val="008742A2"/>
    <w:rsid w:val="008742C1"/>
    <w:rsid w:val="008747A7"/>
    <w:rsid w:val="0087488B"/>
    <w:rsid w:val="00874B2B"/>
    <w:rsid w:val="00874C99"/>
    <w:rsid w:val="00874CA3"/>
    <w:rsid w:val="00875025"/>
    <w:rsid w:val="00875309"/>
    <w:rsid w:val="00875314"/>
    <w:rsid w:val="008753AA"/>
    <w:rsid w:val="00875551"/>
    <w:rsid w:val="00875870"/>
    <w:rsid w:val="00875F6A"/>
    <w:rsid w:val="008762D5"/>
    <w:rsid w:val="0087664D"/>
    <w:rsid w:val="00876754"/>
    <w:rsid w:val="0087677A"/>
    <w:rsid w:val="00876978"/>
    <w:rsid w:val="00876E0C"/>
    <w:rsid w:val="00877099"/>
    <w:rsid w:val="008770A6"/>
    <w:rsid w:val="00877450"/>
    <w:rsid w:val="008774F1"/>
    <w:rsid w:val="0087758C"/>
    <w:rsid w:val="00877629"/>
    <w:rsid w:val="00877B02"/>
    <w:rsid w:val="00880123"/>
    <w:rsid w:val="008803BD"/>
    <w:rsid w:val="008806E9"/>
    <w:rsid w:val="00880BF4"/>
    <w:rsid w:val="00880F65"/>
    <w:rsid w:val="00880F83"/>
    <w:rsid w:val="00881779"/>
    <w:rsid w:val="00881D2D"/>
    <w:rsid w:val="00881F88"/>
    <w:rsid w:val="008820D6"/>
    <w:rsid w:val="0088246B"/>
    <w:rsid w:val="00882479"/>
    <w:rsid w:val="0088295C"/>
    <w:rsid w:val="00882D35"/>
    <w:rsid w:val="00882E7C"/>
    <w:rsid w:val="008838C3"/>
    <w:rsid w:val="00883B23"/>
    <w:rsid w:val="00883C87"/>
    <w:rsid w:val="00883D02"/>
    <w:rsid w:val="00883DBB"/>
    <w:rsid w:val="00883F9A"/>
    <w:rsid w:val="0088408A"/>
    <w:rsid w:val="008841A9"/>
    <w:rsid w:val="00884570"/>
    <w:rsid w:val="0088483D"/>
    <w:rsid w:val="00884AF7"/>
    <w:rsid w:val="00884E5F"/>
    <w:rsid w:val="00884F1F"/>
    <w:rsid w:val="0088517A"/>
    <w:rsid w:val="0088521B"/>
    <w:rsid w:val="00885E74"/>
    <w:rsid w:val="008864BD"/>
    <w:rsid w:val="00886AB1"/>
    <w:rsid w:val="00886D3F"/>
    <w:rsid w:val="00886ED8"/>
    <w:rsid w:val="008871FD"/>
    <w:rsid w:val="00887236"/>
    <w:rsid w:val="0088797F"/>
    <w:rsid w:val="008879B3"/>
    <w:rsid w:val="008879ED"/>
    <w:rsid w:val="00887E6E"/>
    <w:rsid w:val="00890074"/>
    <w:rsid w:val="00890910"/>
    <w:rsid w:val="0089124E"/>
    <w:rsid w:val="00891393"/>
    <w:rsid w:val="008914C9"/>
    <w:rsid w:val="00891620"/>
    <w:rsid w:val="00891B61"/>
    <w:rsid w:val="00891FFD"/>
    <w:rsid w:val="0089207A"/>
    <w:rsid w:val="0089225E"/>
    <w:rsid w:val="00892276"/>
    <w:rsid w:val="0089239B"/>
    <w:rsid w:val="00892894"/>
    <w:rsid w:val="0089295A"/>
    <w:rsid w:val="008929C4"/>
    <w:rsid w:val="00892BBF"/>
    <w:rsid w:val="00893354"/>
    <w:rsid w:val="00893954"/>
    <w:rsid w:val="008949C9"/>
    <w:rsid w:val="00894A53"/>
    <w:rsid w:val="00895040"/>
    <w:rsid w:val="0089513C"/>
    <w:rsid w:val="0089548E"/>
    <w:rsid w:val="00895C50"/>
    <w:rsid w:val="008963CA"/>
    <w:rsid w:val="00896C59"/>
    <w:rsid w:val="00896EAD"/>
    <w:rsid w:val="00897367"/>
    <w:rsid w:val="00897598"/>
    <w:rsid w:val="0089790D"/>
    <w:rsid w:val="008A00F9"/>
    <w:rsid w:val="008A0384"/>
    <w:rsid w:val="008A049E"/>
    <w:rsid w:val="008A08DA"/>
    <w:rsid w:val="008A1340"/>
    <w:rsid w:val="008A1A10"/>
    <w:rsid w:val="008A1C97"/>
    <w:rsid w:val="008A1CBB"/>
    <w:rsid w:val="008A1EF6"/>
    <w:rsid w:val="008A1F56"/>
    <w:rsid w:val="008A2214"/>
    <w:rsid w:val="008A2C22"/>
    <w:rsid w:val="008A2F67"/>
    <w:rsid w:val="008A3528"/>
    <w:rsid w:val="008A355E"/>
    <w:rsid w:val="008A35B3"/>
    <w:rsid w:val="008A35C3"/>
    <w:rsid w:val="008A420C"/>
    <w:rsid w:val="008A435F"/>
    <w:rsid w:val="008A45F8"/>
    <w:rsid w:val="008A4717"/>
    <w:rsid w:val="008A4B67"/>
    <w:rsid w:val="008A507C"/>
    <w:rsid w:val="008A5C57"/>
    <w:rsid w:val="008A5CBE"/>
    <w:rsid w:val="008A5D51"/>
    <w:rsid w:val="008A5DB2"/>
    <w:rsid w:val="008A608A"/>
    <w:rsid w:val="008A6A5C"/>
    <w:rsid w:val="008A6AFB"/>
    <w:rsid w:val="008A6BB6"/>
    <w:rsid w:val="008A6C65"/>
    <w:rsid w:val="008A7274"/>
    <w:rsid w:val="008A7585"/>
    <w:rsid w:val="008A7C1C"/>
    <w:rsid w:val="008B0060"/>
    <w:rsid w:val="008B0223"/>
    <w:rsid w:val="008B028A"/>
    <w:rsid w:val="008B03BB"/>
    <w:rsid w:val="008B07D4"/>
    <w:rsid w:val="008B088C"/>
    <w:rsid w:val="008B0E60"/>
    <w:rsid w:val="008B0E71"/>
    <w:rsid w:val="008B10D5"/>
    <w:rsid w:val="008B1CB7"/>
    <w:rsid w:val="008B1DD6"/>
    <w:rsid w:val="008B210F"/>
    <w:rsid w:val="008B2748"/>
    <w:rsid w:val="008B2E91"/>
    <w:rsid w:val="008B337F"/>
    <w:rsid w:val="008B38FE"/>
    <w:rsid w:val="008B3A10"/>
    <w:rsid w:val="008B3A75"/>
    <w:rsid w:val="008B3A99"/>
    <w:rsid w:val="008B3BE9"/>
    <w:rsid w:val="008B3E93"/>
    <w:rsid w:val="008B42A0"/>
    <w:rsid w:val="008B4646"/>
    <w:rsid w:val="008B4955"/>
    <w:rsid w:val="008B49D2"/>
    <w:rsid w:val="008B4B08"/>
    <w:rsid w:val="008B51A4"/>
    <w:rsid w:val="008B51D5"/>
    <w:rsid w:val="008B5244"/>
    <w:rsid w:val="008B5712"/>
    <w:rsid w:val="008B5C4B"/>
    <w:rsid w:val="008B6087"/>
    <w:rsid w:val="008B61B6"/>
    <w:rsid w:val="008B6257"/>
    <w:rsid w:val="008B675A"/>
    <w:rsid w:val="008B685C"/>
    <w:rsid w:val="008B6937"/>
    <w:rsid w:val="008B6AC0"/>
    <w:rsid w:val="008B6B67"/>
    <w:rsid w:val="008B6F24"/>
    <w:rsid w:val="008B71A1"/>
    <w:rsid w:val="008B797A"/>
    <w:rsid w:val="008B79F4"/>
    <w:rsid w:val="008B7EEC"/>
    <w:rsid w:val="008B7FC3"/>
    <w:rsid w:val="008C0012"/>
    <w:rsid w:val="008C06BF"/>
    <w:rsid w:val="008C0B45"/>
    <w:rsid w:val="008C0C31"/>
    <w:rsid w:val="008C1865"/>
    <w:rsid w:val="008C18B4"/>
    <w:rsid w:val="008C20C2"/>
    <w:rsid w:val="008C23BD"/>
    <w:rsid w:val="008C27F7"/>
    <w:rsid w:val="008C2906"/>
    <w:rsid w:val="008C2AE9"/>
    <w:rsid w:val="008C2B9D"/>
    <w:rsid w:val="008C2D16"/>
    <w:rsid w:val="008C30F9"/>
    <w:rsid w:val="008C33E8"/>
    <w:rsid w:val="008C35E2"/>
    <w:rsid w:val="008C3B6A"/>
    <w:rsid w:val="008C40E5"/>
    <w:rsid w:val="008C4106"/>
    <w:rsid w:val="008C4431"/>
    <w:rsid w:val="008C460A"/>
    <w:rsid w:val="008C4735"/>
    <w:rsid w:val="008C476D"/>
    <w:rsid w:val="008C4B26"/>
    <w:rsid w:val="008C4D80"/>
    <w:rsid w:val="008C4E99"/>
    <w:rsid w:val="008C4F4A"/>
    <w:rsid w:val="008C4FF8"/>
    <w:rsid w:val="008C5022"/>
    <w:rsid w:val="008C515F"/>
    <w:rsid w:val="008C55BD"/>
    <w:rsid w:val="008C5985"/>
    <w:rsid w:val="008C5B14"/>
    <w:rsid w:val="008C5E40"/>
    <w:rsid w:val="008C65C1"/>
    <w:rsid w:val="008C6C16"/>
    <w:rsid w:val="008C6EAF"/>
    <w:rsid w:val="008C6FBA"/>
    <w:rsid w:val="008C75C3"/>
    <w:rsid w:val="008C7698"/>
    <w:rsid w:val="008C79A2"/>
    <w:rsid w:val="008C7A9E"/>
    <w:rsid w:val="008C7AD1"/>
    <w:rsid w:val="008C7D06"/>
    <w:rsid w:val="008C7D78"/>
    <w:rsid w:val="008D0139"/>
    <w:rsid w:val="008D0194"/>
    <w:rsid w:val="008D034F"/>
    <w:rsid w:val="008D0460"/>
    <w:rsid w:val="008D05FB"/>
    <w:rsid w:val="008D09AC"/>
    <w:rsid w:val="008D0B7E"/>
    <w:rsid w:val="008D0D33"/>
    <w:rsid w:val="008D0E63"/>
    <w:rsid w:val="008D0FCA"/>
    <w:rsid w:val="008D12D4"/>
    <w:rsid w:val="008D1424"/>
    <w:rsid w:val="008D15F8"/>
    <w:rsid w:val="008D18EE"/>
    <w:rsid w:val="008D19B7"/>
    <w:rsid w:val="008D1E3B"/>
    <w:rsid w:val="008D2128"/>
    <w:rsid w:val="008D2350"/>
    <w:rsid w:val="008D2D6C"/>
    <w:rsid w:val="008D2D7B"/>
    <w:rsid w:val="008D31C7"/>
    <w:rsid w:val="008D3361"/>
    <w:rsid w:val="008D35E1"/>
    <w:rsid w:val="008D413A"/>
    <w:rsid w:val="008D448C"/>
    <w:rsid w:val="008D47DB"/>
    <w:rsid w:val="008D48A8"/>
    <w:rsid w:val="008D4A91"/>
    <w:rsid w:val="008D4FF5"/>
    <w:rsid w:val="008D515C"/>
    <w:rsid w:val="008D54DA"/>
    <w:rsid w:val="008D5570"/>
    <w:rsid w:val="008D55A5"/>
    <w:rsid w:val="008D59EC"/>
    <w:rsid w:val="008D5C89"/>
    <w:rsid w:val="008D5D42"/>
    <w:rsid w:val="008D5D6A"/>
    <w:rsid w:val="008D5ECF"/>
    <w:rsid w:val="008D5F66"/>
    <w:rsid w:val="008D5FE9"/>
    <w:rsid w:val="008D655F"/>
    <w:rsid w:val="008D6917"/>
    <w:rsid w:val="008D6E4E"/>
    <w:rsid w:val="008D6FC3"/>
    <w:rsid w:val="008D7373"/>
    <w:rsid w:val="008D76AF"/>
    <w:rsid w:val="008D7FB6"/>
    <w:rsid w:val="008E009C"/>
    <w:rsid w:val="008E0185"/>
    <w:rsid w:val="008E01D7"/>
    <w:rsid w:val="008E06BB"/>
    <w:rsid w:val="008E0B0D"/>
    <w:rsid w:val="008E0EF0"/>
    <w:rsid w:val="008E129E"/>
    <w:rsid w:val="008E1602"/>
    <w:rsid w:val="008E2A77"/>
    <w:rsid w:val="008E2E1D"/>
    <w:rsid w:val="008E2E66"/>
    <w:rsid w:val="008E3582"/>
    <w:rsid w:val="008E3599"/>
    <w:rsid w:val="008E3803"/>
    <w:rsid w:val="008E3B43"/>
    <w:rsid w:val="008E3D33"/>
    <w:rsid w:val="008E3D80"/>
    <w:rsid w:val="008E4114"/>
    <w:rsid w:val="008E4118"/>
    <w:rsid w:val="008E4306"/>
    <w:rsid w:val="008E4363"/>
    <w:rsid w:val="008E4A12"/>
    <w:rsid w:val="008E4E14"/>
    <w:rsid w:val="008E57E0"/>
    <w:rsid w:val="008E5990"/>
    <w:rsid w:val="008E5D4B"/>
    <w:rsid w:val="008E64F7"/>
    <w:rsid w:val="008E6AAE"/>
    <w:rsid w:val="008E7046"/>
    <w:rsid w:val="008E7121"/>
    <w:rsid w:val="008E7301"/>
    <w:rsid w:val="008E7576"/>
    <w:rsid w:val="008E75AB"/>
    <w:rsid w:val="008E78B0"/>
    <w:rsid w:val="008E790C"/>
    <w:rsid w:val="008E7E6A"/>
    <w:rsid w:val="008F0248"/>
    <w:rsid w:val="008F0A21"/>
    <w:rsid w:val="008F0FE1"/>
    <w:rsid w:val="008F1014"/>
    <w:rsid w:val="008F11DE"/>
    <w:rsid w:val="008F15E7"/>
    <w:rsid w:val="008F17A0"/>
    <w:rsid w:val="008F1BAE"/>
    <w:rsid w:val="008F21EF"/>
    <w:rsid w:val="008F2683"/>
    <w:rsid w:val="008F27CE"/>
    <w:rsid w:val="008F2DE5"/>
    <w:rsid w:val="008F2F2C"/>
    <w:rsid w:val="008F32CD"/>
    <w:rsid w:val="008F33AB"/>
    <w:rsid w:val="008F33BB"/>
    <w:rsid w:val="008F36A6"/>
    <w:rsid w:val="008F371C"/>
    <w:rsid w:val="008F3755"/>
    <w:rsid w:val="008F382E"/>
    <w:rsid w:val="008F39EE"/>
    <w:rsid w:val="008F3B68"/>
    <w:rsid w:val="008F3C8B"/>
    <w:rsid w:val="008F405F"/>
    <w:rsid w:val="008F408E"/>
    <w:rsid w:val="008F432C"/>
    <w:rsid w:val="008F4352"/>
    <w:rsid w:val="008F478D"/>
    <w:rsid w:val="008F4CF7"/>
    <w:rsid w:val="008F555F"/>
    <w:rsid w:val="008F5798"/>
    <w:rsid w:val="008F5A50"/>
    <w:rsid w:val="008F5E1D"/>
    <w:rsid w:val="008F5F46"/>
    <w:rsid w:val="008F5F66"/>
    <w:rsid w:val="008F5FCC"/>
    <w:rsid w:val="008F5FF6"/>
    <w:rsid w:val="008F6290"/>
    <w:rsid w:val="008F6619"/>
    <w:rsid w:val="008F67AC"/>
    <w:rsid w:val="008F6E58"/>
    <w:rsid w:val="008F719F"/>
    <w:rsid w:val="008F72C1"/>
    <w:rsid w:val="008F780D"/>
    <w:rsid w:val="008F7FD8"/>
    <w:rsid w:val="009001B5"/>
    <w:rsid w:val="009003D9"/>
    <w:rsid w:val="0090063A"/>
    <w:rsid w:val="009006AC"/>
    <w:rsid w:val="009008D6"/>
    <w:rsid w:val="00900A76"/>
    <w:rsid w:val="00901335"/>
    <w:rsid w:val="009014A3"/>
    <w:rsid w:val="00902327"/>
    <w:rsid w:val="009024AB"/>
    <w:rsid w:val="00902C94"/>
    <w:rsid w:val="00902E46"/>
    <w:rsid w:val="00902ED4"/>
    <w:rsid w:val="00902FDD"/>
    <w:rsid w:val="0090319C"/>
    <w:rsid w:val="00903ABB"/>
    <w:rsid w:val="00903B66"/>
    <w:rsid w:val="00903C2D"/>
    <w:rsid w:val="00903DEF"/>
    <w:rsid w:val="00903E5A"/>
    <w:rsid w:val="00903FAB"/>
    <w:rsid w:val="00904142"/>
    <w:rsid w:val="00904419"/>
    <w:rsid w:val="00904530"/>
    <w:rsid w:val="009048C4"/>
    <w:rsid w:val="00904E33"/>
    <w:rsid w:val="009057F5"/>
    <w:rsid w:val="00905A1D"/>
    <w:rsid w:val="00905B2C"/>
    <w:rsid w:val="00905EC6"/>
    <w:rsid w:val="00906BCF"/>
    <w:rsid w:val="00906DD5"/>
    <w:rsid w:val="00906F49"/>
    <w:rsid w:val="009070DB"/>
    <w:rsid w:val="00907116"/>
    <w:rsid w:val="009071EC"/>
    <w:rsid w:val="009073CE"/>
    <w:rsid w:val="00907552"/>
    <w:rsid w:val="009078C2"/>
    <w:rsid w:val="009079CC"/>
    <w:rsid w:val="00907A1C"/>
    <w:rsid w:val="00907AD4"/>
    <w:rsid w:val="009105D3"/>
    <w:rsid w:val="00910918"/>
    <w:rsid w:val="009111B0"/>
    <w:rsid w:val="00911C06"/>
    <w:rsid w:val="0091259B"/>
    <w:rsid w:val="00912748"/>
    <w:rsid w:val="0091277E"/>
    <w:rsid w:val="009128A3"/>
    <w:rsid w:val="0091293A"/>
    <w:rsid w:val="00912BC5"/>
    <w:rsid w:val="00912DBD"/>
    <w:rsid w:val="0091301A"/>
    <w:rsid w:val="009133FE"/>
    <w:rsid w:val="0091377C"/>
    <w:rsid w:val="009137BB"/>
    <w:rsid w:val="00913AA1"/>
    <w:rsid w:val="00913CC8"/>
    <w:rsid w:val="009143BB"/>
    <w:rsid w:val="009150CE"/>
    <w:rsid w:val="00915140"/>
    <w:rsid w:val="0091580E"/>
    <w:rsid w:val="00915A94"/>
    <w:rsid w:val="00915FA3"/>
    <w:rsid w:val="009160E3"/>
    <w:rsid w:val="009163C6"/>
    <w:rsid w:val="0091646C"/>
    <w:rsid w:val="00916E33"/>
    <w:rsid w:val="00916EAB"/>
    <w:rsid w:val="0091721B"/>
    <w:rsid w:val="00917586"/>
    <w:rsid w:val="009175DC"/>
    <w:rsid w:val="0091773C"/>
    <w:rsid w:val="00917A0C"/>
    <w:rsid w:val="00920056"/>
    <w:rsid w:val="0092038E"/>
    <w:rsid w:val="00920459"/>
    <w:rsid w:val="0092047C"/>
    <w:rsid w:val="009205C0"/>
    <w:rsid w:val="009205ED"/>
    <w:rsid w:val="009207F7"/>
    <w:rsid w:val="00920851"/>
    <w:rsid w:val="00920929"/>
    <w:rsid w:val="00920BAD"/>
    <w:rsid w:val="00920F4C"/>
    <w:rsid w:val="00920FE6"/>
    <w:rsid w:val="009210F0"/>
    <w:rsid w:val="009213C6"/>
    <w:rsid w:val="00921DA5"/>
    <w:rsid w:val="009224CB"/>
    <w:rsid w:val="0092256B"/>
    <w:rsid w:val="009226AA"/>
    <w:rsid w:val="00922EAA"/>
    <w:rsid w:val="0092317B"/>
    <w:rsid w:val="009232FF"/>
    <w:rsid w:val="00923551"/>
    <w:rsid w:val="00923B00"/>
    <w:rsid w:val="00923FF3"/>
    <w:rsid w:val="00924237"/>
    <w:rsid w:val="00924906"/>
    <w:rsid w:val="009250BD"/>
    <w:rsid w:val="009252D9"/>
    <w:rsid w:val="00925876"/>
    <w:rsid w:val="00925C4E"/>
    <w:rsid w:val="009264D9"/>
    <w:rsid w:val="00926C64"/>
    <w:rsid w:val="009272EA"/>
    <w:rsid w:val="00927739"/>
    <w:rsid w:val="0092780F"/>
    <w:rsid w:val="009279C4"/>
    <w:rsid w:val="00927E84"/>
    <w:rsid w:val="00927F18"/>
    <w:rsid w:val="009300AF"/>
    <w:rsid w:val="00930168"/>
    <w:rsid w:val="00930333"/>
    <w:rsid w:val="0093068E"/>
    <w:rsid w:val="00930EEE"/>
    <w:rsid w:val="00930EF5"/>
    <w:rsid w:val="0093133A"/>
    <w:rsid w:val="00931484"/>
    <w:rsid w:val="00931623"/>
    <w:rsid w:val="009316C4"/>
    <w:rsid w:val="0093173E"/>
    <w:rsid w:val="00931B07"/>
    <w:rsid w:val="00931ED1"/>
    <w:rsid w:val="00931F7F"/>
    <w:rsid w:val="00932015"/>
    <w:rsid w:val="009325D2"/>
    <w:rsid w:val="009325D9"/>
    <w:rsid w:val="00932E54"/>
    <w:rsid w:val="00932EF5"/>
    <w:rsid w:val="0093364D"/>
    <w:rsid w:val="009336C0"/>
    <w:rsid w:val="00933BCD"/>
    <w:rsid w:val="00934048"/>
    <w:rsid w:val="00934123"/>
    <w:rsid w:val="009341ED"/>
    <w:rsid w:val="00934212"/>
    <w:rsid w:val="00934594"/>
    <w:rsid w:val="00934BCE"/>
    <w:rsid w:val="00934D04"/>
    <w:rsid w:val="00935014"/>
    <w:rsid w:val="00935138"/>
    <w:rsid w:val="00935389"/>
    <w:rsid w:val="00935604"/>
    <w:rsid w:val="009358D8"/>
    <w:rsid w:val="00935C88"/>
    <w:rsid w:val="00935DB3"/>
    <w:rsid w:val="00935E66"/>
    <w:rsid w:val="00936307"/>
    <w:rsid w:val="0093643A"/>
    <w:rsid w:val="00936A80"/>
    <w:rsid w:val="00936B83"/>
    <w:rsid w:val="00937159"/>
    <w:rsid w:val="009373D6"/>
    <w:rsid w:val="0093779E"/>
    <w:rsid w:val="00937A32"/>
    <w:rsid w:val="00937E72"/>
    <w:rsid w:val="00940024"/>
    <w:rsid w:val="009403F2"/>
    <w:rsid w:val="00940539"/>
    <w:rsid w:val="009405A9"/>
    <w:rsid w:val="00940B8E"/>
    <w:rsid w:val="00941443"/>
    <w:rsid w:val="00941F1B"/>
    <w:rsid w:val="0094211A"/>
    <w:rsid w:val="00942600"/>
    <w:rsid w:val="00942650"/>
    <w:rsid w:val="0094277B"/>
    <w:rsid w:val="00942CD6"/>
    <w:rsid w:val="00942D3B"/>
    <w:rsid w:val="00943616"/>
    <w:rsid w:val="009436DF"/>
    <w:rsid w:val="00943DBF"/>
    <w:rsid w:val="00944473"/>
    <w:rsid w:val="00944479"/>
    <w:rsid w:val="00945213"/>
    <w:rsid w:val="00945542"/>
    <w:rsid w:val="009455F8"/>
    <w:rsid w:val="0094560A"/>
    <w:rsid w:val="00945670"/>
    <w:rsid w:val="00945686"/>
    <w:rsid w:val="00945AC7"/>
    <w:rsid w:val="00945E36"/>
    <w:rsid w:val="00946334"/>
    <w:rsid w:val="0094634A"/>
    <w:rsid w:val="009465C3"/>
    <w:rsid w:val="009467E3"/>
    <w:rsid w:val="00947159"/>
    <w:rsid w:val="0094729E"/>
    <w:rsid w:val="0094778C"/>
    <w:rsid w:val="00947A52"/>
    <w:rsid w:val="00947B4E"/>
    <w:rsid w:val="0095015A"/>
    <w:rsid w:val="00950822"/>
    <w:rsid w:val="00950D5D"/>
    <w:rsid w:val="00951248"/>
    <w:rsid w:val="00951475"/>
    <w:rsid w:val="00951922"/>
    <w:rsid w:val="00951A57"/>
    <w:rsid w:val="00951BAE"/>
    <w:rsid w:val="00951BCC"/>
    <w:rsid w:val="00951C09"/>
    <w:rsid w:val="009524D5"/>
    <w:rsid w:val="00952E43"/>
    <w:rsid w:val="009531C3"/>
    <w:rsid w:val="00953B2E"/>
    <w:rsid w:val="0095417B"/>
    <w:rsid w:val="009545E7"/>
    <w:rsid w:val="0095464B"/>
    <w:rsid w:val="009548CB"/>
    <w:rsid w:val="00954C94"/>
    <w:rsid w:val="009552C0"/>
    <w:rsid w:val="00955CE6"/>
    <w:rsid w:val="00955D28"/>
    <w:rsid w:val="00955D2A"/>
    <w:rsid w:val="00955DDE"/>
    <w:rsid w:val="00955ED7"/>
    <w:rsid w:val="0095600A"/>
    <w:rsid w:val="00956515"/>
    <w:rsid w:val="00956642"/>
    <w:rsid w:val="009566FF"/>
    <w:rsid w:val="00956C8D"/>
    <w:rsid w:val="00956FF1"/>
    <w:rsid w:val="00957177"/>
    <w:rsid w:val="0095726E"/>
    <w:rsid w:val="00957626"/>
    <w:rsid w:val="00957639"/>
    <w:rsid w:val="0095775E"/>
    <w:rsid w:val="0096095E"/>
    <w:rsid w:val="00960E16"/>
    <w:rsid w:val="00961C36"/>
    <w:rsid w:val="00961D5A"/>
    <w:rsid w:val="00961DCB"/>
    <w:rsid w:val="00961E5F"/>
    <w:rsid w:val="00961F24"/>
    <w:rsid w:val="009625B6"/>
    <w:rsid w:val="00962D74"/>
    <w:rsid w:val="0096321F"/>
    <w:rsid w:val="00963675"/>
    <w:rsid w:val="00963A52"/>
    <w:rsid w:val="00963A9C"/>
    <w:rsid w:val="00964276"/>
    <w:rsid w:val="00964311"/>
    <w:rsid w:val="00964542"/>
    <w:rsid w:val="009646B9"/>
    <w:rsid w:val="009646D5"/>
    <w:rsid w:val="0096505A"/>
    <w:rsid w:val="009651B7"/>
    <w:rsid w:val="00965203"/>
    <w:rsid w:val="009654A6"/>
    <w:rsid w:val="00965777"/>
    <w:rsid w:val="00965CC2"/>
    <w:rsid w:val="00966183"/>
    <w:rsid w:val="009661F9"/>
    <w:rsid w:val="0096627F"/>
    <w:rsid w:val="0096678E"/>
    <w:rsid w:val="00966946"/>
    <w:rsid w:val="00966D8F"/>
    <w:rsid w:val="009670D1"/>
    <w:rsid w:val="00967289"/>
    <w:rsid w:val="00967F5A"/>
    <w:rsid w:val="00970005"/>
    <w:rsid w:val="00970154"/>
    <w:rsid w:val="009708B0"/>
    <w:rsid w:val="009708CC"/>
    <w:rsid w:val="00970AF4"/>
    <w:rsid w:val="00970B46"/>
    <w:rsid w:val="009715DA"/>
    <w:rsid w:val="00971A54"/>
    <w:rsid w:val="00972001"/>
    <w:rsid w:val="00972414"/>
    <w:rsid w:val="00972721"/>
    <w:rsid w:val="009727F1"/>
    <w:rsid w:val="009728BE"/>
    <w:rsid w:val="00973215"/>
    <w:rsid w:val="0097333D"/>
    <w:rsid w:val="009733E2"/>
    <w:rsid w:val="009736BB"/>
    <w:rsid w:val="009737F3"/>
    <w:rsid w:val="00973DEF"/>
    <w:rsid w:val="00973EB5"/>
    <w:rsid w:val="00973EE8"/>
    <w:rsid w:val="00974060"/>
    <w:rsid w:val="00974190"/>
    <w:rsid w:val="00974557"/>
    <w:rsid w:val="009747AD"/>
    <w:rsid w:val="00974876"/>
    <w:rsid w:val="009750C1"/>
    <w:rsid w:val="00975459"/>
    <w:rsid w:val="0097570E"/>
    <w:rsid w:val="00976997"/>
    <w:rsid w:val="009769F0"/>
    <w:rsid w:val="00976CC7"/>
    <w:rsid w:val="00977525"/>
    <w:rsid w:val="009779B7"/>
    <w:rsid w:val="00977EB3"/>
    <w:rsid w:val="009804DC"/>
    <w:rsid w:val="00980521"/>
    <w:rsid w:val="009805FB"/>
    <w:rsid w:val="009807BC"/>
    <w:rsid w:val="00980B90"/>
    <w:rsid w:val="00980BDB"/>
    <w:rsid w:val="00980D34"/>
    <w:rsid w:val="00980F39"/>
    <w:rsid w:val="009810C5"/>
    <w:rsid w:val="0098128E"/>
    <w:rsid w:val="00981567"/>
    <w:rsid w:val="00981DB0"/>
    <w:rsid w:val="0098210C"/>
    <w:rsid w:val="0098226A"/>
    <w:rsid w:val="009829BC"/>
    <w:rsid w:val="00982B8E"/>
    <w:rsid w:val="00982DD0"/>
    <w:rsid w:val="0098347E"/>
    <w:rsid w:val="009836E5"/>
    <w:rsid w:val="00983ACA"/>
    <w:rsid w:val="00983C0C"/>
    <w:rsid w:val="00983D7C"/>
    <w:rsid w:val="0098418D"/>
    <w:rsid w:val="009843CA"/>
    <w:rsid w:val="009847DD"/>
    <w:rsid w:val="00984933"/>
    <w:rsid w:val="00984BE0"/>
    <w:rsid w:val="00984C15"/>
    <w:rsid w:val="00984CDC"/>
    <w:rsid w:val="00984EA9"/>
    <w:rsid w:val="00984F49"/>
    <w:rsid w:val="00985767"/>
    <w:rsid w:val="009857D5"/>
    <w:rsid w:val="009858A8"/>
    <w:rsid w:val="009861D6"/>
    <w:rsid w:val="00986342"/>
    <w:rsid w:val="00986615"/>
    <w:rsid w:val="0098666D"/>
    <w:rsid w:val="009868BF"/>
    <w:rsid w:val="00986B1B"/>
    <w:rsid w:val="00987487"/>
    <w:rsid w:val="00987A40"/>
    <w:rsid w:val="00987D25"/>
    <w:rsid w:val="00987DE4"/>
    <w:rsid w:val="00987E1D"/>
    <w:rsid w:val="00987FB4"/>
    <w:rsid w:val="00987FCC"/>
    <w:rsid w:val="00990176"/>
    <w:rsid w:val="009901C9"/>
    <w:rsid w:val="009902C5"/>
    <w:rsid w:val="00990773"/>
    <w:rsid w:val="00990CC6"/>
    <w:rsid w:val="00991070"/>
    <w:rsid w:val="009910C7"/>
    <w:rsid w:val="009911BD"/>
    <w:rsid w:val="00991892"/>
    <w:rsid w:val="009918F7"/>
    <w:rsid w:val="009919F5"/>
    <w:rsid w:val="00991B7C"/>
    <w:rsid w:val="0099202D"/>
    <w:rsid w:val="009921E6"/>
    <w:rsid w:val="00992996"/>
    <w:rsid w:val="00992FD8"/>
    <w:rsid w:val="00993000"/>
    <w:rsid w:val="0099324A"/>
    <w:rsid w:val="009934A3"/>
    <w:rsid w:val="00993AF1"/>
    <w:rsid w:val="00993CA0"/>
    <w:rsid w:val="00993DCC"/>
    <w:rsid w:val="00993F96"/>
    <w:rsid w:val="00994A4C"/>
    <w:rsid w:val="00994D3B"/>
    <w:rsid w:val="00994E21"/>
    <w:rsid w:val="00995516"/>
    <w:rsid w:val="0099578C"/>
    <w:rsid w:val="009959E5"/>
    <w:rsid w:val="009959F6"/>
    <w:rsid w:val="00996049"/>
    <w:rsid w:val="00996622"/>
    <w:rsid w:val="00996915"/>
    <w:rsid w:val="00996B27"/>
    <w:rsid w:val="00996C11"/>
    <w:rsid w:val="00996C46"/>
    <w:rsid w:val="00997167"/>
    <w:rsid w:val="00997293"/>
    <w:rsid w:val="00997AD1"/>
    <w:rsid w:val="009A0198"/>
    <w:rsid w:val="009A0AB0"/>
    <w:rsid w:val="009A0B51"/>
    <w:rsid w:val="009A135B"/>
    <w:rsid w:val="009A17C1"/>
    <w:rsid w:val="009A1D2B"/>
    <w:rsid w:val="009A1F2F"/>
    <w:rsid w:val="009A25AC"/>
    <w:rsid w:val="009A27E7"/>
    <w:rsid w:val="009A2B85"/>
    <w:rsid w:val="009A2E6C"/>
    <w:rsid w:val="009A34BD"/>
    <w:rsid w:val="009A36B9"/>
    <w:rsid w:val="009A3932"/>
    <w:rsid w:val="009A3B4F"/>
    <w:rsid w:val="009A3CA5"/>
    <w:rsid w:val="009A4517"/>
    <w:rsid w:val="009A45CC"/>
    <w:rsid w:val="009A4AA0"/>
    <w:rsid w:val="009A4EE1"/>
    <w:rsid w:val="009A4FEB"/>
    <w:rsid w:val="009A5313"/>
    <w:rsid w:val="009A54FF"/>
    <w:rsid w:val="009A565D"/>
    <w:rsid w:val="009A5BA8"/>
    <w:rsid w:val="009A6105"/>
    <w:rsid w:val="009A6193"/>
    <w:rsid w:val="009A6199"/>
    <w:rsid w:val="009A62E3"/>
    <w:rsid w:val="009A6365"/>
    <w:rsid w:val="009A646B"/>
    <w:rsid w:val="009A6DD6"/>
    <w:rsid w:val="009A6EC2"/>
    <w:rsid w:val="009A733E"/>
    <w:rsid w:val="009A75B1"/>
    <w:rsid w:val="009A7BA0"/>
    <w:rsid w:val="009B0529"/>
    <w:rsid w:val="009B0647"/>
    <w:rsid w:val="009B0727"/>
    <w:rsid w:val="009B0B4F"/>
    <w:rsid w:val="009B0FD6"/>
    <w:rsid w:val="009B14ED"/>
    <w:rsid w:val="009B1815"/>
    <w:rsid w:val="009B19B5"/>
    <w:rsid w:val="009B1ADA"/>
    <w:rsid w:val="009B1C11"/>
    <w:rsid w:val="009B1C33"/>
    <w:rsid w:val="009B1D88"/>
    <w:rsid w:val="009B233E"/>
    <w:rsid w:val="009B243A"/>
    <w:rsid w:val="009B28DB"/>
    <w:rsid w:val="009B291C"/>
    <w:rsid w:val="009B2A11"/>
    <w:rsid w:val="009B2C05"/>
    <w:rsid w:val="009B2C09"/>
    <w:rsid w:val="009B2D0C"/>
    <w:rsid w:val="009B344F"/>
    <w:rsid w:val="009B3B24"/>
    <w:rsid w:val="009B3DB4"/>
    <w:rsid w:val="009B3E51"/>
    <w:rsid w:val="009B3EC8"/>
    <w:rsid w:val="009B4110"/>
    <w:rsid w:val="009B4422"/>
    <w:rsid w:val="009B46CE"/>
    <w:rsid w:val="009B4DB8"/>
    <w:rsid w:val="009B4F2B"/>
    <w:rsid w:val="009B50F5"/>
    <w:rsid w:val="009B6299"/>
    <w:rsid w:val="009B64E2"/>
    <w:rsid w:val="009B6B8B"/>
    <w:rsid w:val="009B6C79"/>
    <w:rsid w:val="009B6E9F"/>
    <w:rsid w:val="009B70B5"/>
    <w:rsid w:val="009B7652"/>
    <w:rsid w:val="009B78C6"/>
    <w:rsid w:val="009B79BF"/>
    <w:rsid w:val="009B7E21"/>
    <w:rsid w:val="009B7E61"/>
    <w:rsid w:val="009B7F03"/>
    <w:rsid w:val="009C092F"/>
    <w:rsid w:val="009C097C"/>
    <w:rsid w:val="009C15A5"/>
    <w:rsid w:val="009C1D85"/>
    <w:rsid w:val="009C2063"/>
    <w:rsid w:val="009C21D5"/>
    <w:rsid w:val="009C23DB"/>
    <w:rsid w:val="009C275B"/>
    <w:rsid w:val="009C2F96"/>
    <w:rsid w:val="009C3308"/>
    <w:rsid w:val="009C35C6"/>
    <w:rsid w:val="009C37D1"/>
    <w:rsid w:val="009C3F2A"/>
    <w:rsid w:val="009C4147"/>
    <w:rsid w:val="009C447B"/>
    <w:rsid w:val="009C475C"/>
    <w:rsid w:val="009C4866"/>
    <w:rsid w:val="009C490D"/>
    <w:rsid w:val="009C4AE3"/>
    <w:rsid w:val="009C4D43"/>
    <w:rsid w:val="009C52A6"/>
    <w:rsid w:val="009C5BFE"/>
    <w:rsid w:val="009C5D32"/>
    <w:rsid w:val="009C6276"/>
    <w:rsid w:val="009C63BF"/>
    <w:rsid w:val="009C688C"/>
    <w:rsid w:val="009C68BD"/>
    <w:rsid w:val="009C69AF"/>
    <w:rsid w:val="009C6D66"/>
    <w:rsid w:val="009C6F45"/>
    <w:rsid w:val="009C7222"/>
    <w:rsid w:val="009C7565"/>
    <w:rsid w:val="009C77EE"/>
    <w:rsid w:val="009C7994"/>
    <w:rsid w:val="009D0029"/>
    <w:rsid w:val="009D007C"/>
    <w:rsid w:val="009D0647"/>
    <w:rsid w:val="009D06D1"/>
    <w:rsid w:val="009D0A32"/>
    <w:rsid w:val="009D0DC9"/>
    <w:rsid w:val="009D0F0A"/>
    <w:rsid w:val="009D0FFB"/>
    <w:rsid w:val="009D10EB"/>
    <w:rsid w:val="009D1184"/>
    <w:rsid w:val="009D1190"/>
    <w:rsid w:val="009D1316"/>
    <w:rsid w:val="009D15B9"/>
    <w:rsid w:val="009D1776"/>
    <w:rsid w:val="009D21B5"/>
    <w:rsid w:val="009D2686"/>
    <w:rsid w:val="009D2C06"/>
    <w:rsid w:val="009D2C07"/>
    <w:rsid w:val="009D2C0E"/>
    <w:rsid w:val="009D2D8C"/>
    <w:rsid w:val="009D2FC5"/>
    <w:rsid w:val="009D3205"/>
    <w:rsid w:val="009D355F"/>
    <w:rsid w:val="009D36AC"/>
    <w:rsid w:val="009D36B2"/>
    <w:rsid w:val="009D3839"/>
    <w:rsid w:val="009D3948"/>
    <w:rsid w:val="009D3A2B"/>
    <w:rsid w:val="009D3BED"/>
    <w:rsid w:val="009D3E79"/>
    <w:rsid w:val="009D424F"/>
    <w:rsid w:val="009D4544"/>
    <w:rsid w:val="009D4690"/>
    <w:rsid w:val="009D46B9"/>
    <w:rsid w:val="009D4F79"/>
    <w:rsid w:val="009D50C0"/>
    <w:rsid w:val="009D59D8"/>
    <w:rsid w:val="009D59EC"/>
    <w:rsid w:val="009D5A26"/>
    <w:rsid w:val="009D5FAE"/>
    <w:rsid w:val="009D620C"/>
    <w:rsid w:val="009D66DB"/>
    <w:rsid w:val="009D73A9"/>
    <w:rsid w:val="009D7BF6"/>
    <w:rsid w:val="009D7BF8"/>
    <w:rsid w:val="009E0065"/>
    <w:rsid w:val="009E096A"/>
    <w:rsid w:val="009E0AEC"/>
    <w:rsid w:val="009E0B03"/>
    <w:rsid w:val="009E0CC7"/>
    <w:rsid w:val="009E0E75"/>
    <w:rsid w:val="009E1292"/>
    <w:rsid w:val="009E1A7E"/>
    <w:rsid w:val="009E1C4B"/>
    <w:rsid w:val="009E1F7A"/>
    <w:rsid w:val="009E2630"/>
    <w:rsid w:val="009E266D"/>
    <w:rsid w:val="009E2A62"/>
    <w:rsid w:val="009E2AB8"/>
    <w:rsid w:val="009E2B09"/>
    <w:rsid w:val="009E2D77"/>
    <w:rsid w:val="009E3611"/>
    <w:rsid w:val="009E3694"/>
    <w:rsid w:val="009E3805"/>
    <w:rsid w:val="009E3F38"/>
    <w:rsid w:val="009E4500"/>
    <w:rsid w:val="009E45EF"/>
    <w:rsid w:val="009E4AE4"/>
    <w:rsid w:val="009E4CAE"/>
    <w:rsid w:val="009E4D45"/>
    <w:rsid w:val="009E59AA"/>
    <w:rsid w:val="009E5E4C"/>
    <w:rsid w:val="009E5F99"/>
    <w:rsid w:val="009E649B"/>
    <w:rsid w:val="009E67C4"/>
    <w:rsid w:val="009E6AA8"/>
    <w:rsid w:val="009E6B17"/>
    <w:rsid w:val="009E6DE8"/>
    <w:rsid w:val="009E6FD1"/>
    <w:rsid w:val="009E7299"/>
    <w:rsid w:val="009F021D"/>
    <w:rsid w:val="009F0465"/>
    <w:rsid w:val="009F04EA"/>
    <w:rsid w:val="009F0870"/>
    <w:rsid w:val="009F0CA3"/>
    <w:rsid w:val="009F1433"/>
    <w:rsid w:val="009F14A7"/>
    <w:rsid w:val="009F16CB"/>
    <w:rsid w:val="009F1DA7"/>
    <w:rsid w:val="009F1F43"/>
    <w:rsid w:val="009F1FE9"/>
    <w:rsid w:val="009F20F4"/>
    <w:rsid w:val="009F240D"/>
    <w:rsid w:val="009F2DFB"/>
    <w:rsid w:val="009F3214"/>
    <w:rsid w:val="009F36F2"/>
    <w:rsid w:val="009F3704"/>
    <w:rsid w:val="009F3D51"/>
    <w:rsid w:val="009F42C7"/>
    <w:rsid w:val="009F4505"/>
    <w:rsid w:val="009F45CF"/>
    <w:rsid w:val="009F48EA"/>
    <w:rsid w:val="009F494A"/>
    <w:rsid w:val="009F495E"/>
    <w:rsid w:val="009F4C3B"/>
    <w:rsid w:val="009F4C6F"/>
    <w:rsid w:val="009F4D3C"/>
    <w:rsid w:val="009F4F1D"/>
    <w:rsid w:val="009F4FA6"/>
    <w:rsid w:val="009F50FC"/>
    <w:rsid w:val="009F53F9"/>
    <w:rsid w:val="009F576D"/>
    <w:rsid w:val="009F5ADC"/>
    <w:rsid w:val="009F5D9E"/>
    <w:rsid w:val="009F60AE"/>
    <w:rsid w:val="009F6475"/>
    <w:rsid w:val="009F6BB5"/>
    <w:rsid w:val="009F7240"/>
    <w:rsid w:val="009F72D8"/>
    <w:rsid w:val="009F7E36"/>
    <w:rsid w:val="00A001F1"/>
    <w:rsid w:val="00A00428"/>
    <w:rsid w:val="00A00CC6"/>
    <w:rsid w:val="00A00CCA"/>
    <w:rsid w:val="00A010B2"/>
    <w:rsid w:val="00A011A8"/>
    <w:rsid w:val="00A01201"/>
    <w:rsid w:val="00A01992"/>
    <w:rsid w:val="00A01BDF"/>
    <w:rsid w:val="00A01E0A"/>
    <w:rsid w:val="00A01EF1"/>
    <w:rsid w:val="00A01FA2"/>
    <w:rsid w:val="00A01FDB"/>
    <w:rsid w:val="00A0266F"/>
    <w:rsid w:val="00A03E03"/>
    <w:rsid w:val="00A0401B"/>
    <w:rsid w:val="00A04152"/>
    <w:rsid w:val="00A04163"/>
    <w:rsid w:val="00A0419B"/>
    <w:rsid w:val="00A04663"/>
    <w:rsid w:val="00A0472A"/>
    <w:rsid w:val="00A047CE"/>
    <w:rsid w:val="00A049BF"/>
    <w:rsid w:val="00A04B1E"/>
    <w:rsid w:val="00A04D7F"/>
    <w:rsid w:val="00A04DA5"/>
    <w:rsid w:val="00A04DEC"/>
    <w:rsid w:val="00A051DC"/>
    <w:rsid w:val="00A05269"/>
    <w:rsid w:val="00A057DC"/>
    <w:rsid w:val="00A058D8"/>
    <w:rsid w:val="00A05A23"/>
    <w:rsid w:val="00A060E1"/>
    <w:rsid w:val="00A0615D"/>
    <w:rsid w:val="00A065F5"/>
    <w:rsid w:val="00A067CA"/>
    <w:rsid w:val="00A06BD2"/>
    <w:rsid w:val="00A06D57"/>
    <w:rsid w:val="00A072AF"/>
    <w:rsid w:val="00A075F3"/>
    <w:rsid w:val="00A0769B"/>
    <w:rsid w:val="00A07A32"/>
    <w:rsid w:val="00A07CAA"/>
    <w:rsid w:val="00A1001E"/>
    <w:rsid w:val="00A102C8"/>
    <w:rsid w:val="00A10933"/>
    <w:rsid w:val="00A10A66"/>
    <w:rsid w:val="00A11075"/>
    <w:rsid w:val="00A1128D"/>
    <w:rsid w:val="00A1156D"/>
    <w:rsid w:val="00A11820"/>
    <w:rsid w:val="00A11C33"/>
    <w:rsid w:val="00A11ED8"/>
    <w:rsid w:val="00A12123"/>
    <w:rsid w:val="00A1230E"/>
    <w:rsid w:val="00A123FE"/>
    <w:rsid w:val="00A12668"/>
    <w:rsid w:val="00A12F4B"/>
    <w:rsid w:val="00A13013"/>
    <w:rsid w:val="00A133B3"/>
    <w:rsid w:val="00A13B86"/>
    <w:rsid w:val="00A13BAD"/>
    <w:rsid w:val="00A143F5"/>
    <w:rsid w:val="00A14D35"/>
    <w:rsid w:val="00A1522E"/>
    <w:rsid w:val="00A152E5"/>
    <w:rsid w:val="00A15345"/>
    <w:rsid w:val="00A153EC"/>
    <w:rsid w:val="00A15474"/>
    <w:rsid w:val="00A154D3"/>
    <w:rsid w:val="00A15EC0"/>
    <w:rsid w:val="00A1608E"/>
    <w:rsid w:val="00A16105"/>
    <w:rsid w:val="00A1618B"/>
    <w:rsid w:val="00A1654D"/>
    <w:rsid w:val="00A16773"/>
    <w:rsid w:val="00A1686C"/>
    <w:rsid w:val="00A16AB2"/>
    <w:rsid w:val="00A16B77"/>
    <w:rsid w:val="00A1710D"/>
    <w:rsid w:val="00A1717E"/>
    <w:rsid w:val="00A17265"/>
    <w:rsid w:val="00A172A4"/>
    <w:rsid w:val="00A1762F"/>
    <w:rsid w:val="00A209A7"/>
    <w:rsid w:val="00A20C8F"/>
    <w:rsid w:val="00A20D3C"/>
    <w:rsid w:val="00A2128F"/>
    <w:rsid w:val="00A21E51"/>
    <w:rsid w:val="00A229F6"/>
    <w:rsid w:val="00A2300B"/>
    <w:rsid w:val="00A230EE"/>
    <w:rsid w:val="00A23103"/>
    <w:rsid w:val="00A2322F"/>
    <w:rsid w:val="00A23397"/>
    <w:rsid w:val="00A235BF"/>
    <w:rsid w:val="00A237F6"/>
    <w:rsid w:val="00A23A01"/>
    <w:rsid w:val="00A23E7A"/>
    <w:rsid w:val="00A23F5E"/>
    <w:rsid w:val="00A2451D"/>
    <w:rsid w:val="00A245C5"/>
    <w:rsid w:val="00A24735"/>
    <w:rsid w:val="00A248E1"/>
    <w:rsid w:val="00A249A1"/>
    <w:rsid w:val="00A24C00"/>
    <w:rsid w:val="00A24E78"/>
    <w:rsid w:val="00A24F81"/>
    <w:rsid w:val="00A257C3"/>
    <w:rsid w:val="00A2584C"/>
    <w:rsid w:val="00A25EE2"/>
    <w:rsid w:val="00A2609A"/>
    <w:rsid w:val="00A26158"/>
    <w:rsid w:val="00A26315"/>
    <w:rsid w:val="00A26427"/>
    <w:rsid w:val="00A26478"/>
    <w:rsid w:val="00A269E1"/>
    <w:rsid w:val="00A26CC8"/>
    <w:rsid w:val="00A26DD5"/>
    <w:rsid w:val="00A26E09"/>
    <w:rsid w:val="00A2740A"/>
    <w:rsid w:val="00A279EE"/>
    <w:rsid w:val="00A27DA6"/>
    <w:rsid w:val="00A27F5F"/>
    <w:rsid w:val="00A301BC"/>
    <w:rsid w:val="00A30683"/>
    <w:rsid w:val="00A3069D"/>
    <w:rsid w:val="00A30BD9"/>
    <w:rsid w:val="00A3146D"/>
    <w:rsid w:val="00A31B82"/>
    <w:rsid w:val="00A31C59"/>
    <w:rsid w:val="00A31C6A"/>
    <w:rsid w:val="00A32B50"/>
    <w:rsid w:val="00A330C0"/>
    <w:rsid w:val="00A330CA"/>
    <w:rsid w:val="00A332E7"/>
    <w:rsid w:val="00A33D05"/>
    <w:rsid w:val="00A33EED"/>
    <w:rsid w:val="00A33F12"/>
    <w:rsid w:val="00A345E0"/>
    <w:rsid w:val="00A345F0"/>
    <w:rsid w:val="00A34B45"/>
    <w:rsid w:val="00A34EAA"/>
    <w:rsid w:val="00A353AD"/>
    <w:rsid w:val="00A35FBE"/>
    <w:rsid w:val="00A35FF1"/>
    <w:rsid w:val="00A36845"/>
    <w:rsid w:val="00A368F4"/>
    <w:rsid w:val="00A36C38"/>
    <w:rsid w:val="00A36F53"/>
    <w:rsid w:val="00A3714D"/>
    <w:rsid w:val="00A3735B"/>
    <w:rsid w:val="00A374C2"/>
    <w:rsid w:val="00A37A5F"/>
    <w:rsid w:val="00A37CD6"/>
    <w:rsid w:val="00A40153"/>
    <w:rsid w:val="00A408A0"/>
    <w:rsid w:val="00A40F68"/>
    <w:rsid w:val="00A410C1"/>
    <w:rsid w:val="00A412B8"/>
    <w:rsid w:val="00A41355"/>
    <w:rsid w:val="00A4171F"/>
    <w:rsid w:val="00A41916"/>
    <w:rsid w:val="00A41AD2"/>
    <w:rsid w:val="00A41BE3"/>
    <w:rsid w:val="00A42103"/>
    <w:rsid w:val="00A4214E"/>
    <w:rsid w:val="00A42AEA"/>
    <w:rsid w:val="00A42F6D"/>
    <w:rsid w:val="00A430CF"/>
    <w:rsid w:val="00A43302"/>
    <w:rsid w:val="00A43705"/>
    <w:rsid w:val="00A437DB"/>
    <w:rsid w:val="00A437EA"/>
    <w:rsid w:val="00A43A50"/>
    <w:rsid w:val="00A43C47"/>
    <w:rsid w:val="00A43D0A"/>
    <w:rsid w:val="00A44307"/>
    <w:rsid w:val="00A44577"/>
    <w:rsid w:val="00A449E1"/>
    <w:rsid w:val="00A44B92"/>
    <w:rsid w:val="00A44CCF"/>
    <w:rsid w:val="00A44D85"/>
    <w:rsid w:val="00A45291"/>
    <w:rsid w:val="00A452DE"/>
    <w:rsid w:val="00A457EC"/>
    <w:rsid w:val="00A458E7"/>
    <w:rsid w:val="00A46BB6"/>
    <w:rsid w:val="00A47089"/>
    <w:rsid w:val="00A470CA"/>
    <w:rsid w:val="00A47239"/>
    <w:rsid w:val="00A47251"/>
    <w:rsid w:val="00A479F3"/>
    <w:rsid w:val="00A47B9B"/>
    <w:rsid w:val="00A47C25"/>
    <w:rsid w:val="00A47C87"/>
    <w:rsid w:val="00A47F00"/>
    <w:rsid w:val="00A5016E"/>
    <w:rsid w:val="00A5026A"/>
    <w:rsid w:val="00A50908"/>
    <w:rsid w:val="00A5095F"/>
    <w:rsid w:val="00A509DE"/>
    <w:rsid w:val="00A50B37"/>
    <w:rsid w:val="00A50DAB"/>
    <w:rsid w:val="00A50E2E"/>
    <w:rsid w:val="00A50EF4"/>
    <w:rsid w:val="00A51385"/>
    <w:rsid w:val="00A51B38"/>
    <w:rsid w:val="00A51BF1"/>
    <w:rsid w:val="00A51C59"/>
    <w:rsid w:val="00A51CC3"/>
    <w:rsid w:val="00A52004"/>
    <w:rsid w:val="00A5218D"/>
    <w:rsid w:val="00A528FD"/>
    <w:rsid w:val="00A53850"/>
    <w:rsid w:val="00A53D45"/>
    <w:rsid w:val="00A53F47"/>
    <w:rsid w:val="00A54270"/>
    <w:rsid w:val="00A543D0"/>
    <w:rsid w:val="00A546E9"/>
    <w:rsid w:val="00A54732"/>
    <w:rsid w:val="00A54D87"/>
    <w:rsid w:val="00A551AD"/>
    <w:rsid w:val="00A553E1"/>
    <w:rsid w:val="00A55976"/>
    <w:rsid w:val="00A56038"/>
    <w:rsid w:val="00A56464"/>
    <w:rsid w:val="00A56E93"/>
    <w:rsid w:val="00A570A2"/>
    <w:rsid w:val="00A57188"/>
    <w:rsid w:val="00A57298"/>
    <w:rsid w:val="00A5730B"/>
    <w:rsid w:val="00A5758F"/>
    <w:rsid w:val="00A579C4"/>
    <w:rsid w:val="00A57D63"/>
    <w:rsid w:val="00A57F2A"/>
    <w:rsid w:val="00A6016B"/>
    <w:rsid w:val="00A602F4"/>
    <w:rsid w:val="00A60593"/>
    <w:rsid w:val="00A60664"/>
    <w:rsid w:val="00A60930"/>
    <w:rsid w:val="00A60B4F"/>
    <w:rsid w:val="00A60CD3"/>
    <w:rsid w:val="00A60E6C"/>
    <w:rsid w:val="00A60EF1"/>
    <w:rsid w:val="00A615C1"/>
    <w:rsid w:val="00A6172B"/>
    <w:rsid w:val="00A61779"/>
    <w:rsid w:val="00A61B9C"/>
    <w:rsid w:val="00A61D66"/>
    <w:rsid w:val="00A622B6"/>
    <w:rsid w:val="00A62313"/>
    <w:rsid w:val="00A625AE"/>
    <w:rsid w:val="00A626F3"/>
    <w:rsid w:val="00A62FD0"/>
    <w:rsid w:val="00A631B2"/>
    <w:rsid w:val="00A6374F"/>
    <w:rsid w:val="00A63C1C"/>
    <w:rsid w:val="00A63C75"/>
    <w:rsid w:val="00A63DE5"/>
    <w:rsid w:val="00A63E65"/>
    <w:rsid w:val="00A63E8A"/>
    <w:rsid w:val="00A63F2A"/>
    <w:rsid w:val="00A640B5"/>
    <w:rsid w:val="00A6453B"/>
    <w:rsid w:val="00A6480C"/>
    <w:rsid w:val="00A64B60"/>
    <w:rsid w:val="00A64DF1"/>
    <w:rsid w:val="00A64F45"/>
    <w:rsid w:val="00A650AF"/>
    <w:rsid w:val="00A650CE"/>
    <w:rsid w:val="00A651D5"/>
    <w:rsid w:val="00A651E8"/>
    <w:rsid w:val="00A65619"/>
    <w:rsid w:val="00A65C0D"/>
    <w:rsid w:val="00A65EC6"/>
    <w:rsid w:val="00A66000"/>
    <w:rsid w:val="00A660DE"/>
    <w:rsid w:val="00A6645D"/>
    <w:rsid w:val="00A66506"/>
    <w:rsid w:val="00A66DDB"/>
    <w:rsid w:val="00A6701C"/>
    <w:rsid w:val="00A6726B"/>
    <w:rsid w:val="00A67AC3"/>
    <w:rsid w:val="00A67EB9"/>
    <w:rsid w:val="00A67F78"/>
    <w:rsid w:val="00A70013"/>
    <w:rsid w:val="00A714F4"/>
    <w:rsid w:val="00A71515"/>
    <w:rsid w:val="00A7179A"/>
    <w:rsid w:val="00A717F8"/>
    <w:rsid w:val="00A71815"/>
    <w:rsid w:val="00A71A01"/>
    <w:rsid w:val="00A71A53"/>
    <w:rsid w:val="00A72654"/>
    <w:rsid w:val="00A729EA"/>
    <w:rsid w:val="00A72B42"/>
    <w:rsid w:val="00A72C03"/>
    <w:rsid w:val="00A72E65"/>
    <w:rsid w:val="00A72EE7"/>
    <w:rsid w:val="00A7309F"/>
    <w:rsid w:val="00A73410"/>
    <w:rsid w:val="00A73434"/>
    <w:rsid w:val="00A7374C"/>
    <w:rsid w:val="00A73975"/>
    <w:rsid w:val="00A73A4E"/>
    <w:rsid w:val="00A73ACB"/>
    <w:rsid w:val="00A73B9E"/>
    <w:rsid w:val="00A7457B"/>
    <w:rsid w:val="00A74745"/>
    <w:rsid w:val="00A74A37"/>
    <w:rsid w:val="00A74C9F"/>
    <w:rsid w:val="00A74E1F"/>
    <w:rsid w:val="00A74EC2"/>
    <w:rsid w:val="00A74F86"/>
    <w:rsid w:val="00A750FA"/>
    <w:rsid w:val="00A753C3"/>
    <w:rsid w:val="00A754CB"/>
    <w:rsid w:val="00A75577"/>
    <w:rsid w:val="00A75A2A"/>
    <w:rsid w:val="00A75E30"/>
    <w:rsid w:val="00A75F52"/>
    <w:rsid w:val="00A76343"/>
    <w:rsid w:val="00A76463"/>
    <w:rsid w:val="00A767E7"/>
    <w:rsid w:val="00A76D35"/>
    <w:rsid w:val="00A7732D"/>
    <w:rsid w:val="00A77368"/>
    <w:rsid w:val="00A77403"/>
    <w:rsid w:val="00A779BD"/>
    <w:rsid w:val="00A77F45"/>
    <w:rsid w:val="00A80276"/>
    <w:rsid w:val="00A80329"/>
    <w:rsid w:val="00A80592"/>
    <w:rsid w:val="00A80A23"/>
    <w:rsid w:val="00A80E16"/>
    <w:rsid w:val="00A80F08"/>
    <w:rsid w:val="00A81075"/>
    <w:rsid w:val="00A8141E"/>
    <w:rsid w:val="00A81AA2"/>
    <w:rsid w:val="00A81C75"/>
    <w:rsid w:val="00A81E60"/>
    <w:rsid w:val="00A82072"/>
    <w:rsid w:val="00A825BC"/>
    <w:rsid w:val="00A8293C"/>
    <w:rsid w:val="00A82DD4"/>
    <w:rsid w:val="00A82E03"/>
    <w:rsid w:val="00A82F36"/>
    <w:rsid w:val="00A8321E"/>
    <w:rsid w:val="00A837B8"/>
    <w:rsid w:val="00A837BD"/>
    <w:rsid w:val="00A83C23"/>
    <w:rsid w:val="00A8406C"/>
    <w:rsid w:val="00A843BE"/>
    <w:rsid w:val="00A84FE1"/>
    <w:rsid w:val="00A86152"/>
    <w:rsid w:val="00A86BE0"/>
    <w:rsid w:val="00A86CE2"/>
    <w:rsid w:val="00A86F52"/>
    <w:rsid w:val="00A87100"/>
    <w:rsid w:val="00A871CC"/>
    <w:rsid w:val="00A878F5"/>
    <w:rsid w:val="00A87ADC"/>
    <w:rsid w:val="00A87B74"/>
    <w:rsid w:val="00A87F56"/>
    <w:rsid w:val="00A87F93"/>
    <w:rsid w:val="00A90128"/>
    <w:rsid w:val="00A90762"/>
    <w:rsid w:val="00A90EB0"/>
    <w:rsid w:val="00A912B7"/>
    <w:rsid w:val="00A915C8"/>
    <w:rsid w:val="00A9181F"/>
    <w:rsid w:val="00A9247E"/>
    <w:rsid w:val="00A92501"/>
    <w:rsid w:val="00A92B9A"/>
    <w:rsid w:val="00A92D70"/>
    <w:rsid w:val="00A9304C"/>
    <w:rsid w:val="00A935E9"/>
    <w:rsid w:val="00A9368E"/>
    <w:rsid w:val="00A93718"/>
    <w:rsid w:val="00A9371D"/>
    <w:rsid w:val="00A9392C"/>
    <w:rsid w:val="00A93B86"/>
    <w:rsid w:val="00A93D84"/>
    <w:rsid w:val="00A93DA6"/>
    <w:rsid w:val="00A94182"/>
    <w:rsid w:val="00A94476"/>
    <w:rsid w:val="00A94B07"/>
    <w:rsid w:val="00A94B5C"/>
    <w:rsid w:val="00A94BF8"/>
    <w:rsid w:val="00A951C5"/>
    <w:rsid w:val="00A954D1"/>
    <w:rsid w:val="00A95551"/>
    <w:rsid w:val="00A95874"/>
    <w:rsid w:val="00A95DAF"/>
    <w:rsid w:val="00A96207"/>
    <w:rsid w:val="00A96273"/>
    <w:rsid w:val="00A96279"/>
    <w:rsid w:val="00A96476"/>
    <w:rsid w:val="00A969E6"/>
    <w:rsid w:val="00A96AF8"/>
    <w:rsid w:val="00A96B12"/>
    <w:rsid w:val="00A96C4E"/>
    <w:rsid w:val="00A96CEE"/>
    <w:rsid w:val="00A96DE0"/>
    <w:rsid w:val="00A97060"/>
    <w:rsid w:val="00A971DF"/>
    <w:rsid w:val="00A97716"/>
    <w:rsid w:val="00A97956"/>
    <w:rsid w:val="00A97F3E"/>
    <w:rsid w:val="00AA00DE"/>
    <w:rsid w:val="00AA01D5"/>
    <w:rsid w:val="00AA0778"/>
    <w:rsid w:val="00AA085D"/>
    <w:rsid w:val="00AA0B9F"/>
    <w:rsid w:val="00AA0ECE"/>
    <w:rsid w:val="00AA10A3"/>
    <w:rsid w:val="00AA10F8"/>
    <w:rsid w:val="00AA1234"/>
    <w:rsid w:val="00AA142F"/>
    <w:rsid w:val="00AA1535"/>
    <w:rsid w:val="00AA153A"/>
    <w:rsid w:val="00AA18AF"/>
    <w:rsid w:val="00AA1B0C"/>
    <w:rsid w:val="00AA1E97"/>
    <w:rsid w:val="00AA1E98"/>
    <w:rsid w:val="00AA2015"/>
    <w:rsid w:val="00AA23B5"/>
    <w:rsid w:val="00AA28DB"/>
    <w:rsid w:val="00AA2D4A"/>
    <w:rsid w:val="00AA32DD"/>
    <w:rsid w:val="00AA338C"/>
    <w:rsid w:val="00AA3CF8"/>
    <w:rsid w:val="00AA3E6A"/>
    <w:rsid w:val="00AA3EDA"/>
    <w:rsid w:val="00AA4138"/>
    <w:rsid w:val="00AA43B4"/>
    <w:rsid w:val="00AA44E8"/>
    <w:rsid w:val="00AA4588"/>
    <w:rsid w:val="00AA4ABF"/>
    <w:rsid w:val="00AA4D0F"/>
    <w:rsid w:val="00AA4F4D"/>
    <w:rsid w:val="00AA50DF"/>
    <w:rsid w:val="00AA5364"/>
    <w:rsid w:val="00AA5CC9"/>
    <w:rsid w:val="00AA5FF8"/>
    <w:rsid w:val="00AA6036"/>
    <w:rsid w:val="00AA6721"/>
    <w:rsid w:val="00AA6758"/>
    <w:rsid w:val="00AA6CF2"/>
    <w:rsid w:val="00AA70C6"/>
    <w:rsid w:val="00AA7717"/>
    <w:rsid w:val="00AA7904"/>
    <w:rsid w:val="00AA7969"/>
    <w:rsid w:val="00AA7D52"/>
    <w:rsid w:val="00AB0401"/>
    <w:rsid w:val="00AB04C1"/>
    <w:rsid w:val="00AB0935"/>
    <w:rsid w:val="00AB0CFE"/>
    <w:rsid w:val="00AB1129"/>
    <w:rsid w:val="00AB1698"/>
    <w:rsid w:val="00AB18C6"/>
    <w:rsid w:val="00AB192A"/>
    <w:rsid w:val="00AB198F"/>
    <w:rsid w:val="00AB1C8F"/>
    <w:rsid w:val="00AB2081"/>
    <w:rsid w:val="00AB2337"/>
    <w:rsid w:val="00AB234C"/>
    <w:rsid w:val="00AB24C4"/>
    <w:rsid w:val="00AB26D5"/>
    <w:rsid w:val="00AB2C8A"/>
    <w:rsid w:val="00AB2E80"/>
    <w:rsid w:val="00AB3430"/>
    <w:rsid w:val="00AB3DFA"/>
    <w:rsid w:val="00AB45F0"/>
    <w:rsid w:val="00AB4A2D"/>
    <w:rsid w:val="00AB4A86"/>
    <w:rsid w:val="00AB4EF7"/>
    <w:rsid w:val="00AB4F95"/>
    <w:rsid w:val="00AB505F"/>
    <w:rsid w:val="00AB50AD"/>
    <w:rsid w:val="00AB5776"/>
    <w:rsid w:val="00AB57DF"/>
    <w:rsid w:val="00AB584B"/>
    <w:rsid w:val="00AB5D2E"/>
    <w:rsid w:val="00AB5E14"/>
    <w:rsid w:val="00AB61AA"/>
    <w:rsid w:val="00AB66BD"/>
    <w:rsid w:val="00AB69A6"/>
    <w:rsid w:val="00AB6C96"/>
    <w:rsid w:val="00AB6ED2"/>
    <w:rsid w:val="00AB6EE5"/>
    <w:rsid w:val="00AB78B5"/>
    <w:rsid w:val="00AB7E3E"/>
    <w:rsid w:val="00AB7E4D"/>
    <w:rsid w:val="00AC01BB"/>
    <w:rsid w:val="00AC0718"/>
    <w:rsid w:val="00AC0A62"/>
    <w:rsid w:val="00AC0B7E"/>
    <w:rsid w:val="00AC1789"/>
    <w:rsid w:val="00AC1991"/>
    <w:rsid w:val="00AC1C81"/>
    <w:rsid w:val="00AC1EF5"/>
    <w:rsid w:val="00AC2273"/>
    <w:rsid w:val="00AC2563"/>
    <w:rsid w:val="00AC2636"/>
    <w:rsid w:val="00AC2A99"/>
    <w:rsid w:val="00AC2C5A"/>
    <w:rsid w:val="00AC343E"/>
    <w:rsid w:val="00AC36FC"/>
    <w:rsid w:val="00AC3E5F"/>
    <w:rsid w:val="00AC3F70"/>
    <w:rsid w:val="00AC404D"/>
    <w:rsid w:val="00AC427F"/>
    <w:rsid w:val="00AC45CB"/>
    <w:rsid w:val="00AC4623"/>
    <w:rsid w:val="00AC4A8F"/>
    <w:rsid w:val="00AC4D93"/>
    <w:rsid w:val="00AC4DC0"/>
    <w:rsid w:val="00AC53B7"/>
    <w:rsid w:val="00AC56D5"/>
    <w:rsid w:val="00AC5831"/>
    <w:rsid w:val="00AC5BAB"/>
    <w:rsid w:val="00AC5D8C"/>
    <w:rsid w:val="00AC5F97"/>
    <w:rsid w:val="00AC642B"/>
    <w:rsid w:val="00AC664E"/>
    <w:rsid w:val="00AC6959"/>
    <w:rsid w:val="00AC7309"/>
    <w:rsid w:val="00AC7333"/>
    <w:rsid w:val="00AC7D83"/>
    <w:rsid w:val="00AD01A8"/>
    <w:rsid w:val="00AD0359"/>
    <w:rsid w:val="00AD0905"/>
    <w:rsid w:val="00AD0931"/>
    <w:rsid w:val="00AD0AEF"/>
    <w:rsid w:val="00AD0B07"/>
    <w:rsid w:val="00AD0E4D"/>
    <w:rsid w:val="00AD1E4B"/>
    <w:rsid w:val="00AD21B8"/>
    <w:rsid w:val="00AD2A1C"/>
    <w:rsid w:val="00AD2B2E"/>
    <w:rsid w:val="00AD2CF2"/>
    <w:rsid w:val="00AD2D1A"/>
    <w:rsid w:val="00AD2F76"/>
    <w:rsid w:val="00AD3241"/>
    <w:rsid w:val="00AD34D9"/>
    <w:rsid w:val="00AD3710"/>
    <w:rsid w:val="00AD39F5"/>
    <w:rsid w:val="00AD3DE0"/>
    <w:rsid w:val="00AD4267"/>
    <w:rsid w:val="00AD443F"/>
    <w:rsid w:val="00AD4B71"/>
    <w:rsid w:val="00AD5195"/>
    <w:rsid w:val="00AD5264"/>
    <w:rsid w:val="00AD565A"/>
    <w:rsid w:val="00AD5CCB"/>
    <w:rsid w:val="00AD5D5C"/>
    <w:rsid w:val="00AD61D8"/>
    <w:rsid w:val="00AD64E7"/>
    <w:rsid w:val="00AD6525"/>
    <w:rsid w:val="00AD65A9"/>
    <w:rsid w:val="00AD65DD"/>
    <w:rsid w:val="00AD6964"/>
    <w:rsid w:val="00AD6984"/>
    <w:rsid w:val="00AD6EB6"/>
    <w:rsid w:val="00AD6F4C"/>
    <w:rsid w:val="00AD6FD0"/>
    <w:rsid w:val="00AD7ACC"/>
    <w:rsid w:val="00AD7ACD"/>
    <w:rsid w:val="00AD7B3A"/>
    <w:rsid w:val="00AD7FB1"/>
    <w:rsid w:val="00AE03BC"/>
    <w:rsid w:val="00AE0555"/>
    <w:rsid w:val="00AE05AB"/>
    <w:rsid w:val="00AE060C"/>
    <w:rsid w:val="00AE07AC"/>
    <w:rsid w:val="00AE0892"/>
    <w:rsid w:val="00AE0DE0"/>
    <w:rsid w:val="00AE0E23"/>
    <w:rsid w:val="00AE10C6"/>
    <w:rsid w:val="00AE1417"/>
    <w:rsid w:val="00AE1428"/>
    <w:rsid w:val="00AE1516"/>
    <w:rsid w:val="00AE15BB"/>
    <w:rsid w:val="00AE1B33"/>
    <w:rsid w:val="00AE1C00"/>
    <w:rsid w:val="00AE1CC8"/>
    <w:rsid w:val="00AE2055"/>
    <w:rsid w:val="00AE2111"/>
    <w:rsid w:val="00AE21F5"/>
    <w:rsid w:val="00AE2340"/>
    <w:rsid w:val="00AE2639"/>
    <w:rsid w:val="00AE2966"/>
    <w:rsid w:val="00AE2B4C"/>
    <w:rsid w:val="00AE2F4A"/>
    <w:rsid w:val="00AE3BFF"/>
    <w:rsid w:val="00AE4564"/>
    <w:rsid w:val="00AE469E"/>
    <w:rsid w:val="00AE46A2"/>
    <w:rsid w:val="00AE49AE"/>
    <w:rsid w:val="00AE4C6B"/>
    <w:rsid w:val="00AE4DC8"/>
    <w:rsid w:val="00AE4E7E"/>
    <w:rsid w:val="00AE50EE"/>
    <w:rsid w:val="00AE54F6"/>
    <w:rsid w:val="00AE5A14"/>
    <w:rsid w:val="00AE5B85"/>
    <w:rsid w:val="00AE6027"/>
    <w:rsid w:val="00AE60FD"/>
    <w:rsid w:val="00AE610D"/>
    <w:rsid w:val="00AE67D6"/>
    <w:rsid w:val="00AE6844"/>
    <w:rsid w:val="00AE6846"/>
    <w:rsid w:val="00AE697C"/>
    <w:rsid w:val="00AE6B3F"/>
    <w:rsid w:val="00AE6B9B"/>
    <w:rsid w:val="00AE6D1F"/>
    <w:rsid w:val="00AE6D79"/>
    <w:rsid w:val="00AE7180"/>
    <w:rsid w:val="00AE75AA"/>
    <w:rsid w:val="00AE7716"/>
    <w:rsid w:val="00AE7877"/>
    <w:rsid w:val="00AE7DD6"/>
    <w:rsid w:val="00AF0892"/>
    <w:rsid w:val="00AF0B38"/>
    <w:rsid w:val="00AF0C25"/>
    <w:rsid w:val="00AF1296"/>
    <w:rsid w:val="00AF160D"/>
    <w:rsid w:val="00AF180E"/>
    <w:rsid w:val="00AF18F1"/>
    <w:rsid w:val="00AF2544"/>
    <w:rsid w:val="00AF27CD"/>
    <w:rsid w:val="00AF288A"/>
    <w:rsid w:val="00AF28A7"/>
    <w:rsid w:val="00AF2BC2"/>
    <w:rsid w:val="00AF2E03"/>
    <w:rsid w:val="00AF2F59"/>
    <w:rsid w:val="00AF3052"/>
    <w:rsid w:val="00AF385C"/>
    <w:rsid w:val="00AF3A69"/>
    <w:rsid w:val="00AF3E17"/>
    <w:rsid w:val="00AF41A5"/>
    <w:rsid w:val="00AF4D09"/>
    <w:rsid w:val="00AF4D3F"/>
    <w:rsid w:val="00AF5203"/>
    <w:rsid w:val="00AF54C3"/>
    <w:rsid w:val="00AF56FE"/>
    <w:rsid w:val="00AF5C52"/>
    <w:rsid w:val="00AF5E8E"/>
    <w:rsid w:val="00AF5F3C"/>
    <w:rsid w:val="00AF6654"/>
    <w:rsid w:val="00AF6A55"/>
    <w:rsid w:val="00AF6A92"/>
    <w:rsid w:val="00AF6C02"/>
    <w:rsid w:val="00AF6C77"/>
    <w:rsid w:val="00AF6E16"/>
    <w:rsid w:val="00AF783E"/>
    <w:rsid w:val="00AF7CFC"/>
    <w:rsid w:val="00AF7DAF"/>
    <w:rsid w:val="00B002D0"/>
    <w:rsid w:val="00B002F0"/>
    <w:rsid w:val="00B0082B"/>
    <w:rsid w:val="00B01A14"/>
    <w:rsid w:val="00B01ABC"/>
    <w:rsid w:val="00B01B8E"/>
    <w:rsid w:val="00B01C12"/>
    <w:rsid w:val="00B01CB6"/>
    <w:rsid w:val="00B01E66"/>
    <w:rsid w:val="00B021EE"/>
    <w:rsid w:val="00B023AB"/>
    <w:rsid w:val="00B023DF"/>
    <w:rsid w:val="00B0262F"/>
    <w:rsid w:val="00B02633"/>
    <w:rsid w:val="00B02D19"/>
    <w:rsid w:val="00B03695"/>
    <w:rsid w:val="00B03C86"/>
    <w:rsid w:val="00B03D42"/>
    <w:rsid w:val="00B03FA8"/>
    <w:rsid w:val="00B04013"/>
    <w:rsid w:val="00B041E4"/>
    <w:rsid w:val="00B044EE"/>
    <w:rsid w:val="00B0451F"/>
    <w:rsid w:val="00B04595"/>
    <w:rsid w:val="00B046B2"/>
    <w:rsid w:val="00B04A01"/>
    <w:rsid w:val="00B04C22"/>
    <w:rsid w:val="00B04C43"/>
    <w:rsid w:val="00B04E94"/>
    <w:rsid w:val="00B04FD0"/>
    <w:rsid w:val="00B052D9"/>
    <w:rsid w:val="00B054BA"/>
    <w:rsid w:val="00B06192"/>
    <w:rsid w:val="00B06238"/>
    <w:rsid w:val="00B0657A"/>
    <w:rsid w:val="00B068E9"/>
    <w:rsid w:val="00B06ABC"/>
    <w:rsid w:val="00B06B3F"/>
    <w:rsid w:val="00B06B49"/>
    <w:rsid w:val="00B06D3D"/>
    <w:rsid w:val="00B06E19"/>
    <w:rsid w:val="00B07410"/>
    <w:rsid w:val="00B075CF"/>
    <w:rsid w:val="00B0767F"/>
    <w:rsid w:val="00B077BD"/>
    <w:rsid w:val="00B079EB"/>
    <w:rsid w:val="00B07BB3"/>
    <w:rsid w:val="00B07F65"/>
    <w:rsid w:val="00B101C3"/>
    <w:rsid w:val="00B10B33"/>
    <w:rsid w:val="00B110E7"/>
    <w:rsid w:val="00B11642"/>
    <w:rsid w:val="00B116F8"/>
    <w:rsid w:val="00B117ED"/>
    <w:rsid w:val="00B11996"/>
    <w:rsid w:val="00B11CDD"/>
    <w:rsid w:val="00B11D6C"/>
    <w:rsid w:val="00B12144"/>
    <w:rsid w:val="00B127F2"/>
    <w:rsid w:val="00B127F9"/>
    <w:rsid w:val="00B1297D"/>
    <w:rsid w:val="00B12BA7"/>
    <w:rsid w:val="00B12CE6"/>
    <w:rsid w:val="00B12DB1"/>
    <w:rsid w:val="00B12EB5"/>
    <w:rsid w:val="00B12F73"/>
    <w:rsid w:val="00B13238"/>
    <w:rsid w:val="00B13B3A"/>
    <w:rsid w:val="00B1413B"/>
    <w:rsid w:val="00B14488"/>
    <w:rsid w:val="00B146CC"/>
    <w:rsid w:val="00B14991"/>
    <w:rsid w:val="00B149E5"/>
    <w:rsid w:val="00B14B73"/>
    <w:rsid w:val="00B14C74"/>
    <w:rsid w:val="00B14F90"/>
    <w:rsid w:val="00B14FD7"/>
    <w:rsid w:val="00B153F9"/>
    <w:rsid w:val="00B154ED"/>
    <w:rsid w:val="00B15886"/>
    <w:rsid w:val="00B158C5"/>
    <w:rsid w:val="00B15F08"/>
    <w:rsid w:val="00B16184"/>
    <w:rsid w:val="00B1628C"/>
    <w:rsid w:val="00B166F3"/>
    <w:rsid w:val="00B168EA"/>
    <w:rsid w:val="00B16C92"/>
    <w:rsid w:val="00B16CAE"/>
    <w:rsid w:val="00B16DE5"/>
    <w:rsid w:val="00B172A5"/>
    <w:rsid w:val="00B172C9"/>
    <w:rsid w:val="00B1760E"/>
    <w:rsid w:val="00B177A0"/>
    <w:rsid w:val="00B17A20"/>
    <w:rsid w:val="00B20028"/>
    <w:rsid w:val="00B2022A"/>
    <w:rsid w:val="00B2026F"/>
    <w:rsid w:val="00B2035E"/>
    <w:rsid w:val="00B203B7"/>
    <w:rsid w:val="00B20567"/>
    <w:rsid w:val="00B208D5"/>
    <w:rsid w:val="00B20A4A"/>
    <w:rsid w:val="00B20F3A"/>
    <w:rsid w:val="00B21444"/>
    <w:rsid w:val="00B21740"/>
    <w:rsid w:val="00B22112"/>
    <w:rsid w:val="00B22625"/>
    <w:rsid w:val="00B2283A"/>
    <w:rsid w:val="00B231ED"/>
    <w:rsid w:val="00B235D4"/>
    <w:rsid w:val="00B23625"/>
    <w:rsid w:val="00B2379D"/>
    <w:rsid w:val="00B23BC7"/>
    <w:rsid w:val="00B23C44"/>
    <w:rsid w:val="00B23C8E"/>
    <w:rsid w:val="00B23DD1"/>
    <w:rsid w:val="00B23F1D"/>
    <w:rsid w:val="00B24A31"/>
    <w:rsid w:val="00B2513C"/>
    <w:rsid w:val="00B2559B"/>
    <w:rsid w:val="00B259BC"/>
    <w:rsid w:val="00B25A45"/>
    <w:rsid w:val="00B25ACB"/>
    <w:rsid w:val="00B2600E"/>
    <w:rsid w:val="00B263A5"/>
    <w:rsid w:val="00B26535"/>
    <w:rsid w:val="00B26575"/>
    <w:rsid w:val="00B2658B"/>
    <w:rsid w:val="00B266B9"/>
    <w:rsid w:val="00B26C92"/>
    <w:rsid w:val="00B26DF5"/>
    <w:rsid w:val="00B273CA"/>
    <w:rsid w:val="00B275F9"/>
    <w:rsid w:val="00B2765C"/>
    <w:rsid w:val="00B278BE"/>
    <w:rsid w:val="00B27946"/>
    <w:rsid w:val="00B27DF9"/>
    <w:rsid w:val="00B300D3"/>
    <w:rsid w:val="00B3015D"/>
    <w:rsid w:val="00B301EA"/>
    <w:rsid w:val="00B30C46"/>
    <w:rsid w:val="00B3113E"/>
    <w:rsid w:val="00B31730"/>
    <w:rsid w:val="00B317F0"/>
    <w:rsid w:val="00B3192C"/>
    <w:rsid w:val="00B31A05"/>
    <w:rsid w:val="00B31DCD"/>
    <w:rsid w:val="00B31E39"/>
    <w:rsid w:val="00B3214A"/>
    <w:rsid w:val="00B322CD"/>
    <w:rsid w:val="00B323CE"/>
    <w:rsid w:val="00B32655"/>
    <w:rsid w:val="00B32704"/>
    <w:rsid w:val="00B329EA"/>
    <w:rsid w:val="00B32DF0"/>
    <w:rsid w:val="00B3343B"/>
    <w:rsid w:val="00B335B9"/>
    <w:rsid w:val="00B3377D"/>
    <w:rsid w:val="00B337F5"/>
    <w:rsid w:val="00B34169"/>
    <w:rsid w:val="00B34208"/>
    <w:rsid w:val="00B3439A"/>
    <w:rsid w:val="00B34BD4"/>
    <w:rsid w:val="00B35003"/>
    <w:rsid w:val="00B3500C"/>
    <w:rsid w:val="00B356A9"/>
    <w:rsid w:val="00B362BB"/>
    <w:rsid w:val="00B36427"/>
    <w:rsid w:val="00B36BC8"/>
    <w:rsid w:val="00B36CA2"/>
    <w:rsid w:val="00B372E2"/>
    <w:rsid w:val="00B37540"/>
    <w:rsid w:val="00B3766C"/>
    <w:rsid w:val="00B3774A"/>
    <w:rsid w:val="00B37961"/>
    <w:rsid w:val="00B37E23"/>
    <w:rsid w:val="00B37F51"/>
    <w:rsid w:val="00B40145"/>
    <w:rsid w:val="00B4035D"/>
    <w:rsid w:val="00B410E7"/>
    <w:rsid w:val="00B413E6"/>
    <w:rsid w:val="00B41EAC"/>
    <w:rsid w:val="00B420BF"/>
    <w:rsid w:val="00B42342"/>
    <w:rsid w:val="00B42461"/>
    <w:rsid w:val="00B42DEA"/>
    <w:rsid w:val="00B4326E"/>
    <w:rsid w:val="00B43551"/>
    <w:rsid w:val="00B43657"/>
    <w:rsid w:val="00B43A55"/>
    <w:rsid w:val="00B43EF9"/>
    <w:rsid w:val="00B44181"/>
    <w:rsid w:val="00B444EC"/>
    <w:rsid w:val="00B449E9"/>
    <w:rsid w:val="00B44CE2"/>
    <w:rsid w:val="00B44EC6"/>
    <w:rsid w:val="00B45362"/>
    <w:rsid w:val="00B4545F"/>
    <w:rsid w:val="00B45A89"/>
    <w:rsid w:val="00B45D83"/>
    <w:rsid w:val="00B45F27"/>
    <w:rsid w:val="00B45FB7"/>
    <w:rsid w:val="00B46313"/>
    <w:rsid w:val="00B4635A"/>
    <w:rsid w:val="00B466B9"/>
    <w:rsid w:val="00B46956"/>
    <w:rsid w:val="00B46CFE"/>
    <w:rsid w:val="00B47079"/>
    <w:rsid w:val="00B47371"/>
    <w:rsid w:val="00B474EA"/>
    <w:rsid w:val="00B475E2"/>
    <w:rsid w:val="00B50019"/>
    <w:rsid w:val="00B5022C"/>
    <w:rsid w:val="00B50381"/>
    <w:rsid w:val="00B503B9"/>
    <w:rsid w:val="00B50409"/>
    <w:rsid w:val="00B50479"/>
    <w:rsid w:val="00B50529"/>
    <w:rsid w:val="00B50B81"/>
    <w:rsid w:val="00B50F5D"/>
    <w:rsid w:val="00B5112B"/>
    <w:rsid w:val="00B511B9"/>
    <w:rsid w:val="00B51414"/>
    <w:rsid w:val="00B51AC5"/>
    <w:rsid w:val="00B52237"/>
    <w:rsid w:val="00B5240B"/>
    <w:rsid w:val="00B5300E"/>
    <w:rsid w:val="00B53292"/>
    <w:rsid w:val="00B533F9"/>
    <w:rsid w:val="00B536BD"/>
    <w:rsid w:val="00B537C4"/>
    <w:rsid w:val="00B5382D"/>
    <w:rsid w:val="00B5392D"/>
    <w:rsid w:val="00B53C9E"/>
    <w:rsid w:val="00B53CB4"/>
    <w:rsid w:val="00B53EBD"/>
    <w:rsid w:val="00B53FEC"/>
    <w:rsid w:val="00B5433D"/>
    <w:rsid w:val="00B543FA"/>
    <w:rsid w:val="00B545B7"/>
    <w:rsid w:val="00B5463F"/>
    <w:rsid w:val="00B54774"/>
    <w:rsid w:val="00B54E21"/>
    <w:rsid w:val="00B54FF3"/>
    <w:rsid w:val="00B55123"/>
    <w:rsid w:val="00B55195"/>
    <w:rsid w:val="00B551DF"/>
    <w:rsid w:val="00B554DC"/>
    <w:rsid w:val="00B55B8F"/>
    <w:rsid w:val="00B55BC2"/>
    <w:rsid w:val="00B55C35"/>
    <w:rsid w:val="00B564A3"/>
    <w:rsid w:val="00B56713"/>
    <w:rsid w:val="00B568A7"/>
    <w:rsid w:val="00B56A43"/>
    <w:rsid w:val="00B56A8F"/>
    <w:rsid w:val="00B57024"/>
    <w:rsid w:val="00B57062"/>
    <w:rsid w:val="00B5712F"/>
    <w:rsid w:val="00B571EF"/>
    <w:rsid w:val="00B57B22"/>
    <w:rsid w:val="00B60096"/>
    <w:rsid w:val="00B6018F"/>
    <w:rsid w:val="00B601CC"/>
    <w:rsid w:val="00B60813"/>
    <w:rsid w:val="00B6087F"/>
    <w:rsid w:val="00B6090D"/>
    <w:rsid w:val="00B609A8"/>
    <w:rsid w:val="00B60C2B"/>
    <w:rsid w:val="00B60DA6"/>
    <w:rsid w:val="00B613A4"/>
    <w:rsid w:val="00B61848"/>
    <w:rsid w:val="00B61B3C"/>
    <w:rsid w:val="00B61D01"/>
    <w:rsid w:val="00B61FB1"/>
    <w:rsid w:val="00B61FC2"/>
    <w:rsid w:val="00B6223E"/>
    <w:rsid w:val="00B625FD"/>
    <w:rsid w:val="00B62AC5"/>
    <w:rsid w:val="00B62DF6"/>
    <w:rsid w:val="00B635D0"/>
    <w:rsid w:val="00B63697"/>
    <w:rsid w:val="00B6407E"/>
    <w:rsid w:val="00B64193"/>
    <w:rsid w:val="00B642BC"/>
    <w:rsid w:val="00B6434F"/>
    <w:rsid w:val="00B6467C"/>
    <w:rsid w:val="00B646CC"/>
    <w:rsid w:val="00B6488B"/>
    <w:rsid w:val="00B64DA6"/>
    <w:rsid w:val="00B651F8"/>
    <w:rsid w:val="00B65801"/>
    <w:rsid w:val="00B65D1F"/>
    <w:rsid w:val="00B6604E"/>
    <w:rsid w:val="00B661B3"/>
    <w:rsid w:val="00B661E5"/>
    <w:rsid w:val="00B6638F"/>
    <w:rsid w:val="00B6667E"/>
    <w:rsid w:val="00B66686"/>
    <w:rsid w:val="00B66A48"/>
    <w:rsid w:val="00B66CD4"/>
    <w:rsid w:val="00B670FE"/>
    <w:rsid w:val="00B6717D"/>
    <w:rsid w:val="00B67457"/>
    <w:rsid w:val="00B675A5"/>
    <w:rsid w:val="00B6767F"/>
    <w:rsid w:val="00B6772B"/>
    <w:rsid w:val="00B70230"/>
    <w:rsid w:val="00B70268"/>
    <w:rsid w:val="00B70359"/>
    <w:rsid w:val="00B70966"/>
    <w:rsid w:val="00B70CD7"/>
    <w:rsid w:val="00B70D10"/>
    <w:rsid w:val="00B715C5"/>
    <w:rsid w:val="00B720B2"/>
    <w:rsid w:val="00B721E5"/>
    <w:rsid w:val="00B7239F"/>
    <w:rsid w:val="00B72412"/>
    <w:rsid w:val="00B724B3"/>
    <w:rsid w:val="00B7258C"/>
    <w:rsid w:val="00B728F4"/>
    <w:rsid w:val="00B72AFF"/>
    <w:rsid w:val="00B73284"/>
    <w:rsid w:val="00B7357E"/>
    <w:rsid w:val="00B73638"/>
    <w:rsid w:val="00B73BA1"/>
    <w:rsid w:val="00B74183"/>
    <w:rsid w:val="00B742A9"/>
    <w:rsid w:val="00B742BD"/>
    <w:rsid w:val="00B74368"/>
    <w:rsid w:val="00B745F3"/>
    <w:rsid w:val="00B7499A"/>
    <w:rsid w:val="00B74E7C"/>
    <w:rsid w:val="00B74ECD"/>
    <w:rsid w:val="00B752FB"/>
    <w:rsid w:val="00B75E05"/>
    <w:rsid w:val="00B7641D"/>
    <w:rsid w:val="00B7676A"/>
    <w:rsid w:val="00B76ADA"/>
    <w:rsid w:val="00B76B50"/>
    <w:rsid w:val="00B76B9B"/>
    <w:rsid w:val="00B76C7A"/>
    <w:rsid w:val="00B76F36"/>
    <w:rsid w:val="00B77282"/>
    <w:rsid w:val="00B77BB4"/>
    <w:rsid w:val="00B77C5F"/>
    <w:rsid w:val="00B77CCE"/>
    <w:rsid w:val="00B77DB2"/>
    <w:rsid w:val="00B806FA"/>
    <w:rsid w:val="00B8155D"/>
    <w:rsid w:val="00B81664"/>
    <w:rsid w:val="00B81FD1"/>
    <w:rsid w:val="00B8218D"/>
    <w:rsid w:val="00B822DA"/>
    <w:rsid w:val="00B823C9"/>
    <w:rsid w:val="00B828A0"/>
    <w:rsid w:val="00B829DE"/>
    <w:rsid w:val="00B82BE8"/>
    <w:rsid w:val="00B82E56"/>
    <w:rsid w:val="00B82F3F"/>
    <w:rsid w:val="00B831FB"/>
    <w:rsid w:val="00B8381C"/>
    <w:rsid w:val="00B83B35"/>
    <w:rsid w:val="00B83BF4"/>
    <w:rsid w:val="00B8416B"/>
    <w:rsid w:val="00B84CAE"/>
    <w:rsid w:val="00B86279"/>
    <w:rsid w:val="00B86759"/>
    <w:rsid w:val="00B867C1"/>
    <w:rsid w:val="00B870A0"/>
    <w:rsid w:val="00B87574"/>
    <w:rsid w:val="00B87FF9"/>
    <w:rsid w:val="00B900FD"/>
    <w:rsid w:val="00B90194"/>
    <w:rsid w:val="00B903AD"/>
    <w:rsid w:val="00B906F3"/>
    <w:rsid w:val="00B91264"/>
    <w:rsid w:val="00B91600"/>
    <w:rsid w:val="00B92081"/>
    <w:rsid w:val="00B92518"/>
    <w:rsid w:val="00B9251C"/>
    <w:rsid w:val="00B92585"/>
    <w:rsid w:val="00B92BE0"/>
    <w:rsid w:val="00B92C15"/>
    <w:rsid w:val="00B92D46"/>
    <w:rsid w:val="00B92DA9"/>
    <w:rsid w:val="00B93064"/>
    <w:rsid w:val="00B93305"/>
    <w:rsid w:val="00B933C9"/>
    <w:rsid w:val="00B9357B"/>
    <w:rsid w:val="00B9370D"/>
    <w:rsid w:val="00B938A3"/>
    <w:rsid w:val="00B9458C"/>
    <w:rsid w:val="00B946B0"/>
    <w:rsid w:val="00B94841"/>
    <w:rsid w:val="00B94BE6"/>
    <w:rsid w:val="00B94D6C"/>
    <w:rsid w:val="00B95070"/>
    <w:rsid w:val="00B951C4"/>
    <w:rsid w:val="00B95231"/>
    <w:rsid w:val="00B954EC"/>
    <w:rsid w:val="00B9558D"/>
    <w:rsid w:val="00B9563D"/>
    <w:rsid w:val="00B95E30"/>
    <w:rsid w:val="00B95E9F"/>
    <w:rsid w:val="00B95EA1"/>
    <w:rsid w:val="00B962BD"/>
    <w:rsid w:val="00B96444"/>
    <w:rsid w:val="00B96592"/>
    <w:rsid w:val="00B96D7F"/>
    <w:rsid w:val="00B970C3"/>
    <w:rsid w:val="00B97359"/>
    <w:rsid w:val="00B9741F"/>
    <w:rsid w:val="00B97660"/>
    <w:rsid w:val="00B97701"/>
    <w:rsid w:val="00B97844"/>
    <w:rsid w:val="00B9793E"/>
    <w:rsid w:val="00B97972"/>
    <w:rsid w:val="00B97AC8"/>
    <w:rsid w:val="00B97C7C"/>
    <w:rsid w:val="00B97CA4"/>
    <w:rsid w:val="00B97ED2"/>
    <w:rsid w:val="00BA00B6"/>
    <w:rsid w:val="00BA048D"/>
    <w:rsid w:val="00BA0A10"/>
    <w:rsid w:val="00BA0A91"/>
    <w:rsid w:val="00BA0AE0"/>
    <w:rsid w:val="00BA1001"/>
    <w:rsid w:val="00BA149A"/>
    <w:rsid w:val="00BA1B05"/>
    <w:rsid w:val="00BA1C16"/>
    <w:rsid w:val="00BA2534"/>
    <w:rsid w:val="00BA2923"/>
    <w:rsid w:val="00BA32E3"/>
    <w:rsid w:val="00BA37EC"/>
    <w:rsid w:val="00BA3B71"/>
    <w:rsid w:val="00BA3F5D"/>
    <w:rsid w:val="00BA4201"/>
    <w:rsid w:val="00BA4413"/>
    <w:rsid w:val="00BA485F"/>
    <w:rsid w:val="00BA49A5"/>
    <w:rsid w:val="00BA54B8"/>
    <w:rsid w:val="00BA558C"/>
    <w:rsid w:val="00BA5624"/>
    <w:rsid w:val="00BA5B74"/>
    <w:rsid w:val="00BA5BF7"/>
    <w:rsid w:val="00BA5E08"/>
    <w:rsid w:val="00BA6142"/>
    <w:rsid w:val="00BA640A"/>
    <w:rsid w:val="00BA6608"/>
    <w:rsid w:val="00BA6880"/>
    <w:rsid w:val="00BA70F8"/>
    <w:rsid w:val="00BA7453"/>
    <w:rsid w:val="00BA768E"/>
    <w:rsid w:val="00BA7697"/>
    <w:rsid w:val="00BA76AB"/>
    <w:rsid w:val="00BA76E3"/>
    <w:rsid w:val="00BA7BD5"/>
    <w:rsid w:val="00BA7C52"/>
    <w:rsid w:val="00BA7DC3"/>
    <w:rsid w:val="00BA7F6B"/>
    <w:rsid w:val="00BA7F6D"/>
    <w:rsid w:val="00BB01DD"/>
    <w:rsid w:val="00BB05FD"/>
    <w:rsid w:val="00BB0D6A"/>
    <w:rsid w:val="00BB0E2C"/>
    <w:rsid w:val="00BB1518"/>
    <w:rsid w:val="00BB15A6"/>
    <w:rsid w:val="00BB1EEB"/>
    <w:rsid w:val="00BB2338"/>
    <w:rsid w:val="00BB2789"/>
    <w:rsid w:val="00BB2A5B"/>
    <w:rsid w:val="00BB2D29"/>
    <w:rsid w:val="00BB304A"/>
    <w:rsid w:val="00BB30A8"/>
    <w:rsid w:val="00BB31DB"/>
    <w:rsid w:val="00BB3768"/>
    <w:rsid w:val="00BB3977"/>
    <w:rsid w:val="00BB3A82"/>
    <w:rsid w:val="00BB3DF8"/>
    <w:rsid w:val="00BB4047"/>
    <w:rsid w:val="00BB4092"/>
    <w:rsid w:val="00BB42A6"/>
    <w:rsid w:val="00BB464F"/>
    <w:rsid w:val="00BB4AD4"/>
    <w:rsid w:val="00BB4B98"/>
    <w:rsid w:val="00BB4DB7"/>
    <w:rsid w:val="00BB4FE8"/>
    <w:rsid w:val="00BB50EF"/>
    <w:rsid w:val="00BB52A1"/>
    <w:rsid w:val="00BB5317"/>
    <w:rsid w:val="00BB566B"/>
    <w:rsid w:val="00BB593C"/>
    <w:rsid w:val="00BB5C20"/>
    <w:rsid w:val="00BB639C"/>
    <w:rsid w:val="00BB6A4E"/>
    <w:rsid w:val="00BB6C09"/>
    <w:rsid w:val="00BB6EB9"/>
    <w:rsid w:val="00BB70C8"/>
    <w:rsid w:val="00BB74CE"/>
    <w:rsid w:val="00BB755F"/>
    <w:rsid w:val="00BB7C1B"/>
    <w:rsid w:val="00BB7CB1"/>
    <w:rsid w:val="00BC0E0C"/>
    <w:rsid w:val="00BC0E3B"/>
    <w:rsid w:val="00BC1052"/>
    <w:rsid w:val="00BC146A"/>
    <w:rsid w:val="00BC1B7C"/>
    <w:rsid w:val="00BC1BEC"/>
    <w:rsid w:val="00BC23CB"/>
    <w:rsid w:val="00BC2530"/>
    <w:rsid w:val="00BC2772"/>
    <w:rsid w:val="00BC29B2"/>
    <w:rsid w:val="00BC2A24"/>
    <w:rsid w:val="00BC37D7"/>
    <w:rsid w:val="00BC37D8"/>
    <w:rsid w:val="00BC39BF"/>
    <w:rsid w:val="00BC3D37"/>
    <w:rsid w:val="00BC3FF2"/>
    <w:rsid w:val="00BC480D"/>
    <w:rsid w:val="00BC48F0"/>
    <w:rsid w:val="00BC4954"/>
    <w:rsid w:val="00BC4D11"/>
    <w:rsid w:val="00BC50B0"/>
    <w:rsid w:val="00BC51EC"/>
    <w:rsid w:val="00BC53BC"/>
    <w:rsid w:val="00BC5502"/>
    <w:rsid w:val="00BC5863"/>
    <w:rsid w:val="00BC5B54"/>
    <w:rsid w:val="00BC5E2C"/>
    <w:rsid w:val="00BC5FB1"/>
    <w:rsid w:val="00BC64F6"/>
    <w:rsid w:val="00BC65CA"/>
    <w:rsid w:val="00BC6687"/>
    <w:rsid w:val="00BC6784"/>
    <w:rsid w:val="00BC6F8F"/>
    <w:rsid w:val="00BC71DF"/>
    <w:rsid w:val="00BC72CA"/>
    <w:rsid w:val="00BC7BCB"/>
    <w:rsid w:val="00BC7C17"/>
    <w:rsid w:val="00BC7D37"/>
    <w:rsid w:val="00BC7E4C"/>
    <w:rsid w:val="00BD04D2"/>
    <w:rsid w:val="00BD09CF"/>
    <w:rsid w:val="00BD11AC"/>
    <w:rsid w:val="00BD11F5"/>
    <w:rsid w:val="00BD1477"/>
    <w:rsid w:val="00BD181D"/>
    <w:rsid w:val="00BD186E"/>
    <w:rsid w:val="00BD224C"/>
    <w:rsid w:val="00BD22E9"/>
    <w:rsid w:val="00BD262B"/>
    <w:rsid w:val="00BD2943"/>
    <w:rsid w:val="00BD29BF"/>
    <w:rsid w:val="00BD2E93"/>
    <w:rsid w:val="00BD3130"/>
    <w:rsid w:val="00BD3628"/>
    <w:rsid w:val="00BD36B2"/>
    <w:rsid w:val="00BD37AE"/>
    <w:rsid w:val="00BD39E3"/>
    <w:rsid w:val="00BD3CA5"/>
    <w:rsid w:val="00BD4075"/>
    <w:rsid w:val="00BD4271"/>
    <w:rsid w:val="00BD433D"/>
    <w:rsid w:val="00BD49D0"/>
    <w:rsid w:val="00BD4F66"/>
    <w:rsid w:val="00BD4F87"/>
    <w:rsid w:val="00BD559A"/>
    <w:rsid w:val="00BD56DF"/>
    <w:rsid w:val="00BD577F"/>
    <w:rsid w:val="00BD5A46"/>
    <w:rsid w:val="00BD5B1E"/>
    <w:rsid w:val="00BD610F"/>
    <w:rsid w:val="00BD6E3C"/>
    <w:rsid w:val="00BD6E84"/>
    <w:rsid w:val="00BD7006"/>
    <w:rsid w:val="00BD7200"/>
    <w:rsid w:val="00BD7328"/>
    <w:rsid w:val="00BD765C"/>
    <w:rsid w:val="00BD774D"/>
    <w:rsid w:val="00BD77EA"/>
    <w:rsid w:val="00BD7A44"/>
    <w:rsid w:val="00BD7A80"/>
    <w:rsid w:val="00BD7AFB"/>
    <w:rsid w:val="00BD7BF5"/>
    <w:rsid w:val="00BE0073"/>
    <w:rsid w:val="00BE0ED5"/>
    <w:rsid w:val="00BE0FD0"/>
    <w:rsid w:val="00BE13F7"/>
    <w:rsid w:val="00BE15F1"/>
    <w:rsid w:val="00BE15F4"/>
    <w:rsid w:val="00BE16C4"/>
    <w:rsid w:val="00BE187F"/>
    <w:rsid w:val="00BE1A25"/>
    <w:rsid w:val="00BE1AF4"/>
    <w:rsid w:val="00BE1B87"/>
    <w:rsid w:val="00BE1BD9"/>
    <w:rsid w:val="00BE1C30"/>
    <w:rsid w:val="00BE200E"/>
    <w:rsid w:val="00BE229B"/>
    <w:rsid w:val="00BE23AF"/>
    <w:rsid w:val="00BE24E2"/>
    <w:rsid w:val="00BE28A2"/>
    <w:rsid w:val="00BE2994"/>
    <w:rsid w:val="00BE2DF4"/>
    <w:rsid w:val="00BE356A"/>
    <w:rsid w:val="00BE3831"/>
    <w:rsid w:val="00BE3865"/>
    <w:rsid w:val="00BE4082"/>
    <w:rsid w:val="00BE43D2"/>
    <w:rsid w:val="00BE485B"/>
    <w:rsid w:val="00BE49C9"/>
    <w:rsid w:val="00BE51AE"/>
    <w:rsid w:val="00BE565C"/>
    <w:rsid w:val="00BE5B03"/>
    <w:rsid w:val="00BE5CE6"/>
    <w:rsid w:val="00BE5D6B"/>
    <w:rsid w:val="00BE5E17"/>
    <w:rsid w:val="00BE5F47"/>
    <w:rsid w:val="00BE65A2"/>
    <w:rsid w:val="00BE6694"/>
    <w:rsid w:val="00BE67CF"/>
    <w:rsid w:val="00BE6822"/>
    <w:rsid w:val="00BE6C98"/>
    <w:rsid w:val="00BE6D1B"/>
    <w:rsid w:val="00BE78C4"/>
    <w:rsid w:val="00BE7A12"/>
    <w:rsid w:val="00BE7E6D"/>
    <w:rsid w:val="00BE7EEC"/>
    <w:rsid w:val="00BE7FBE"/>
    <w:rsid w:val="00BF019E"/>
    <w:rsid w:val="00BF04DD"/>
    <w:rsid w:val="00BF0ED9"/>
    <w:rsid w:val="00BF1013"/>
    <w:rsid w:val="00BF1046"/>
    <w:rsid w:val="00BF11AC"/>
    <w:rsid w:val="00BF1416"/>
    <w:rsid w:val="00BF156E"/>
    <w:rsid w:val="00BF1F11"/>
    <w:rsid w:val="00BF1FE5"/>
    <w:rsid w:val="00BF26D4"/>
    <w:rsid w:val="00BF2BE3"/>
    <w:rsid w:val="00BF2C5A"/>
    <w:rsid w:val="00BF2CA0"/>
    <w:rsid w:val="00BF2D2F"/>
    <w:rsid w:val="00BF2E39"/>
    <w:rsid w:val="00BF30EB"/>
    <w:rsid w:val="00BF31D9"/>
    <w:rsid w:val="00BF327E"/>
    <w:rsid w:val="00BF39DB"/>
    <w:rsid w:val="00BF3D19"/>
    <w:rsid w:val="00BF4023"/>
    <w:rsid w:val="00BF46F6"/>
    <w:rsid w:val="00BF4803"/>
    <w:rsid w:val="00BF49CE"/>
    <w:rsid w:val="00BF4A58"/>
    <w:rsid w:val="00BF4EDC"/>
    <w:rsid w:val="00BF4EE9"/>
    <w:rsid w:val="00BF5070"/>
    <w:rsid w:val="00BF58E3"/>
    <w:rsid w:val="00BF59AA"/>
    <w:rsid w:val="00BF60CA"/>
    <w:rsid w:val="00BF66CC"/>
    <w:rsid w:val="00BF6964"/>
    <w:rsid w:val="00BF7114"/>
    <w:rsid w:val="00BF7868"/>
    <w:rsid w:val="00BF7C8C"/>
    <w:rsid w:val="00BF7EF4"/>
    <w:rsid w:val="00BF7F76"/>
    <w:rsid w:val="00BF7FAE"/>
    <w:rsid w:val="00C00217"/>
    <w:rsid w:val="00C00365"/>
    <w:rsid w:val="00C003C5"/>
    <w:rsid w:val="00C00576"/>
    <w:rsid w:val="00C00761"/>
    <w:rsid w:val="00C0090D"/>
    <w:rsid w:val="00C00A2A"/>
    <w:rsid w:val="00C00CE4"/>
    <w:rsid w:val="00C013FE"/>
    <w:rsid w:val="00C01472"/>
    <w:rsid w:val="00C01C74"/>
    <w:rsid w:val="00C01FBF"/>
    <w:rsid w:val="00C0249A"/>
    <w:rsid w:val="00C03941"/>
    <w:rsid w:val="00C03B69"/>
    <w:rsid w:val="00C03EAF"/>
    <w:rsid w:val="00C03ECE"/>
    <w:rsid w:val="00C041D6"/>
    <w:rsid w:val="00C04341"/>
    <w:rsid w:val="00C04517"/>
    <w:rsid w:val="00C045A2"/>
    <w:rsid w:val="00C049DF"/>
    <w:rsid w:val="00C04C1D"/>
    <w:rsid w:val="00C04C3C"/>
    <w:rsid w:val="00C04F65"/>
    <w:rsid w:val="00C0535D"/>
    <w:rsid w:val="00C05CF1"/>
    <w:rsid w:val="00C05D84"/>
    <w:rsid w:val="00C0645E"/>
    <w:rsid w:val="00C066B7"/>
    <w:rsid w:val="00C07804"/>
    <w:rsid w:val="00C078B2"/>
    <w:rsid w:val="00C07B67"/>
    <w:rsid w:val="00C07CB8"/>
    <w:rsid w:val="00C1064E"/>
    <w:rsid w:val="00C106D3"/>
    <w:rsid w:val="00C107EF"/>
    <w:rsid w:val="00C10951"/>
    <w:rsid w:val="00C11A16"/>
    <w:rsid w:val="00C11B50"/>
    <w:rsid w:val="00C12493"/>
    <w:rsid w:val="00C12621"/>
    <w:rsid w:val="00C12A18"/>
    <w:rsid w:val="00C12BB1"/>
    <w:rsid w:val="00C12DDF"/>
    <w:rsid w:val="00C13039"/>
    <w:rsid w:val="00C134F5"/>
    <w:rsid w:val="00C142E6"/>
    <w:rsid w:val="00C1452D"/>
    <w:rsid w:val="00C14599"/>
    <w:rsid w:val="00C1492C"/>
    <w:rsid w:val="00C14AB5"/>
    <w:rsid w:val="00C150CE"/>
    <w:rsid w:val="00C15171"/>
    <w:rsid w:val="00C153E4"/>
    <w:rsid w:val="00C15797"/>
    <w:rsid w:val="00C15AD5"/>
    <w:rsid w:val="00C15ADA"/>
    <w:rsid w:val="00C15B9D"/>
    <w:rsid w:val="00C15F0D"/>
    <w:rsid w:val="00C16735"/>
    <w:rsid w:val="00C1691B"/>
    <w:rsid w:val="00C16A19"/>
    <w:rsid w:val="00C16AEB"/>
    <w:rsid w:val="00C16B4E"/>
    <w:rsid w:val="00C17113"/>
    <w:rsid w:val="00C172C8"/>
    <w:rsid w:val="00C17347"/>
    <w:rsid w:val="00C17651"/>
    <w:rsid w:val="00C17C7D"/>
    <w:rsid w:val="00C20947"/>
    <w:rsid w:val="00C209B4"/>
    <w:rsid w:val="00C20E77"/>
    <w:rsid w:val="00C22290"/>
    <w:rsid w:val="00C225FB"/>
    <w:rsid w:val="00C2285B"/>
    <w:rsid w:val="00C22BA8"/>
    <w:rsid w:val="00C23237"/>
    <w:rsid w:val="00C234CA"/>
    <w:rsid w:val="00C236A9"/>
    <w:rsid w:val="00C23D29"/>
    <w:rsid w:val="00C24460"/>
    <w:rsid w:val="00C24676"/>
    <w:rsid w:val="00C25116"/>
    <w:rsid w:val="00C25227"/>
    <w:rsid w:val="00C25272"/>
    <w:rsid w:val="00C25596"/>
    <w:rsid w:val="00C25A1A"/>
    <w:rsid w:val="00C25A2A"/>
    <w:rsid w:val="00C25B67"/>
    <w:rsid w:val="00C25C00"/>
    <w:rsid w:val="00C25C9D"/>
    <w:rsid w:val="00C261F0"/>
    <w:rsid w:val="00C266EE"/>
    <w:rsid w:val="00C26C5A"/>
    <w:rsid w:val="00C26EB4"/>
    <w:rsid w:val="00C2730B"/>
    <w:rsid w:val="00C2765F"/>
    <w:rsid w:val="00C2766D"/>
    <w:rsid w:val="00C301C6"/>
    <w:rsid w:val="00C30570"/>
    <w:rsid w:val="00C30651"/>
    <w:rsid w:val="00C3083B"/>
    <w:rsid w:val="00C30AD2"/>
    <w:rsid w:val="00C30BB3"/>
    <w:rsid w:val="00C3116A"/>
    <w:rsid w:val="00C31CA6"/>
    <w:rsid w:val="00C32109"/>
    <w:rsid w:val="00C322EB"/>
    <w:rsid w:val="00C32332"/>
    <w:rsid w:val="00C32359"/>
    <w:rsid w:val="00C3296F"/>
    <w:rsid w:val="00C32B70"/>
    <w:rsid w:val="00C32BE3"/>
    <w:rsid w:val="00C33453"/>
    <w:rsid w:val="00C33A5B"/>
    <w:rsid w:val="00C33EFC"/>
    <w:rsid w:val="00C34150"/>
    <w:rsid w:val="00C34333"/>
    <w:rsid w:val="00C34A0C"/>
    <w:rsid w:val="00C34FFA"/>
    <w:rsid w:val="00C35099"/>
    <w:rsid w:val="00C356F9"/>
    <w:rsid w:val="00C35F1E"/>
    <w:rsid w:val="00C364DE"/>
    <w:rsid w:val="00C3682F"/>
    <w:rsid w:val="00C3691B"/>
    <w:rsid w:val="00C37602"/>
    <w:rsid w:val="00C40936"/>
    <w:rsid w:val="00C4147D"/>
    <w:rsid w:val="00C41546"/>
    <w:rsid w:val="00C415BA"/>
    <w:rsid w:val="00C41C22"/>
    <w:rsid w:val="00C420B2"/>
    <w:rsid w:val="00C42502"/>
    <w:rsid w:val="00C42786"/>
    <w:rsid w:val="00C43092"/>
    <w:rsid w:val="00C432F5"/>
    <w:rsid w:val="00C43394"/>
    <w:rsid w:val="00C43787"/>
    <w:rsid w:val="00C43B46"/>
    <w:rsid w:val="00C43D26"/>
    <w:rsid w:val="00C43EF0"/>
    <w:rsid w:val="00C44136"/>
    <w:rsid w:val="00C44568"/>
    <w:rsid w:val="00C4466F"/>
    <w:rsid w:val="00C44803"/>
    <w:rsid w:val="00C44A0C"/>
    <w:rsid w:val="00C44BF5"/>
    <w:rsid w:val="00C44DDF"/>
    <w:rsid w:val="00C450C2"/>
    <w:rsid w:val="00C451C3"/>
    <w:rsid w:val="00C45B26"/>
    <w:rsid w:val="00C45CEB"/>
    <w:rsid w:val="00C4608E"/>
    <w:rsid w:val="00C46569"/>
    <w:rsid w:val="00C466B7"/>
    <w:rsid w:val="00C46ABF"/>
    <w:rsid w:val="00C47294"/>
    <w:rsid w:val="00C472F3"/>
    <w:rsid w:val="00C4776C"/>
    <w:rsid w:val="00C478CA"/>
    <w:rsid w:val="00C50198"/>
    <w:rsid w:val="00C50366"/>
    <w:rsid w:val="00C503E4"/>
    <w:rsid w:val="00C504DA"/>
    <w:rsid w:val="00C50936"/>
    <w:rsid w:val="00C50BAA"/>
    <w:rsid w:val="00C50BAE"/>
    <w:rsid w:val="00C514A2"/>
    <w:rsid w:val="00C51CD2"/>
    <w:rsid w:val="00C5204A"/>
    <w:rsid w:val="00C52334"/>
    <w:rsid w:val="00C52517"/>
    <w:rsid w:val="00C5280D"/>
    <w:rsid w:val="00C53099"/>
    <w:rsid w:val="00C53288"/>
    <w:rsid w:val="00C533DC"/>
    <w:rsid w:val="00C5359F"/>
    <w:rsid w:val="00C53758"/>
    <w:rsid w:val="00C53F7E"/>
    <w:rsid w:val="00C549E0"/>
    <w:rsid w:val="00C54A71"/>
    <w:rsid w:val="00C54ADD"/>
    <w:rsid w:val="00C54C5B"/>
    <w:rsid w:val="00C551AD"/>
    <w:rsid w:val="00C55273"/>
    <w:rsid w:val="00C55566"/>
    <w:rsid w:val="00C555A4"/>
    <w:rsid w:val="00C557D9"/>
    <w:rsid w:val="00C55A35"/>
    <w:rsid w:val="00C55C05"/>
    <w:rsid w:val="00C55D68"/>
    <w:rsid w:val="00C55E3C"/>
    <w:rsid w:val="00C56497"/>
    <w:rsid w:val="00C56657"/>
    <w:rsid w:val="00C568B2"/>
    <w:rsid w:val="00C56C05"/>
    <w:rsid w:val="00C5744F"/>
    <w:rsid w:val="00C575AE"/>
    <w:rsid w:val="00C5763B"/>
    <w:rsid w:val="00C57878"/>
    <w:rsid w:val="00C57890"/>
    <w:rsid w:val="00C578A9"/>
    <w:rsid w:val="00C57CBE"/>
    <w:rsid w:val="00C57DE7"/>
    <w:rsid w:val="00C606F8"/>
    <w:rsid w:val="00C60C6C"/>
    <w:rsid w:val="00C61291"/>
    <w:rsid w:val="00C6194E"/>
    <w:rsid w:val="00C61B5B"/>
    <w:rsid w:val="00C61CB1"/>
    <w:rsid w:val="00C621C0"/>
    <w:rsid w:val="00C621D8"/>
    <w:rsid w:val="00C625E2"/>
    <w:rsid w:val="00C62AD7"/>
    <w:rsid w:val="00C62F29"/>
    <w:rsid w:val="00C62F7F"/>
    <w:rsid w:val="00C632E9"/>
    <w:rsid w:val="00C6335A"/>
    <w:rsid w:val="00C63848"/>
    <w:rsid w:val="00C6387F"/>
    <w:rsid w:val="00C63D9E"/>
    <w:rsid w:val="00C63ECA"/>
    <w:rsid w:val="00C64403"/>
    <w:rsid w:val="00C64810"/>
    <w:rsid w:val="00C64AF2"/>
    <w:rsid w:val="00C64E29"/>
    <w:rsid w:val="00C64FE8"/>
    <w:rsid w:val="00C65078"/>
    <w:rsid w:val="00C651E3"/>
    <w:rsid w:val="00C655F8"/>
    <w:rsid w:val="00C65633"/>
    <w:rsid w:val="00C657C2"/>
    <w:rsid w:val="00C658F7"/>
    <w:rsid w:val="00C65FAB"/>
    <w:rsid w:val="00C6602C"/>
    <w:rsid w:val="00C6687D"/>
    <w:rsid w:val="00C67BB1"/>
    <w:rsid w:val="00C67EB4"/>
    <w:rsid w:val="00C67F65"/>
    <w:rsid w:val="00C700F9"/>
    <w:rsid w:val="00C701BE"/>
    <w:rsid w:val="00C70326"/>
    <w:rsid w:val="00C703AF"/>
    <w:rsid w:val="00C703D0"/>
    <w:rsid w:val="00C70671"/>
    <w:rsid w:val="00C70AC5"/>
    <w:rsid w:val="00C70F89"/>
    <w:rsid w:val="00C71142"/>
    <w:rsid w:val="00C716FD"/>
    <w:rsid w:val="00C71C4A"/>
    <w:rsid w:val="00C71E7C"/>
    <w:rsid w:val="00C71F04"/>
    <w:rsid w:val="00C72004"/>
    <w:rsid w:val="00C720E2"/>
    <w:rsid w:val="00C72406"/>
    <w:rsid w:val="00C72D06"/>
    <w:rsid w:val="00C7300A"/>
    <w:rsid w:val="00C730F3"/>
    <w:rsid w:val="00C73172"/>
    <w:rsid w:val="00C732D2"/>
    <w:rsid w:val="00C733C0"/>
    <w:rsid w:val="00C738F0"/>
    <w:rsid w:val="00C738F4"/>
    <w:rsid w:val="00C73F66"/>
    <w:rsid w:val="00C7407D"/>
    <w:rsid w:val="00C740B8"/>
    <w:rsid w:val="00C741D5"/>
    <w:rsid w:val="00C743DD"/>
    <w:rsid w:val="00C74647"/>
    <w:rsid w:val="00C74936"/>
    <w:rsid w:val="00C7506B"/>
    <w:rsid w:val="00C751F1"/>
    <w:rsid w:val="00C755BF"/>
    <w:rsid w:val="00C7574E"/>
    <w:rsid w:val="00C75C28"/>
    <w:rsid w:val="00C75D9E"/>
    <w:rsid w:val="00C75F65"/>
    <w:rsid w:val="00C760B7"/>
    <w:rsid w:val="00C7703C"/>
    <w:rsid w:val="00C77390"/>
    <w:rsid w:val="00C777C1"/>
    <w:rsid w:val="00C778B4"/>
    <w:rsid w:val="00C77D34"/>
    <w:rsid w:val="00C80002"/>
    <w:rsid w:val="00C804E5"/>
    <w:rsid w:val="00C80D83"/>
    <w:rsid w:val="00C80DEC"/>
    <w:rsid w:val="00C80FD0"/>
    <w:rsid w:val="00C81068"/>
    <w:rsid w:val="00C8118D"/>
    <w:rsid w:val="00C81224"/>
    <w:rsid w:val="00C816FE"/>
    <w:rsid w:val="00C818E0"/>
    <w:rsid w:val="00C818F8"/>
    <w:rsid w:val="00C820B3"/>
    <w:rsid w:val="00C820DE"/>
    <w:rsid w:val="00C823C5"/>
    <w:rsid w:val="00C82659"/>
    <w:rsid w:val="00C829F4"/>
    <w:rsid w:val="00C82BB1"/>
    <w:rsid w:val="00C82DAE"/>
    <w:rsid w:val="00C82F78"/>
    <w:rsid w:val="00C833CD"/>
    <w:rsid w:val="00C834FF"/>
    <w:rsid w:val="00C838D5"/>
    <w:rsid w:val="00C83FE5"/>
    <w:rsid w:val="00C844A4"/>
    <w:rsid w:val="00C845BD"/>
    <w:rsid w:val="00C84DC9"/>
    <w:rsid w:val="00C84FCA"/>
    <w:rsid w:val="00C854B4"/>
    <w:rsid w:val="00C8552E"/>
    <w:rsid w:val="00C8563B"/>
    <w:rsid w:val="00C85BAB"/>
    <w:rsid w:val="00C85C77"/>
    <w:rsid w:val="00C85CBA"/>
    <w:rsid w:val="00C85E99"/>
    <w:rsid w:val="00C86272"/>
    <w:rsid w:val="00C86A75"/>
    <w:rsid w:val="00C86C67"/>
    <w:rsid w:val="00C86CDC"/>
    <w:rsid w:val="00C871E4"/>
    <w:rsid w:val="00C8772F"/>
    <w:rsid w:val="00C87793"/>
    <w:rsid w:val="00C87B17"/>
    <w:rsid w:val="00C87C1B"/>
    <w:rsid w:val="00C87EA2"/>
    <w:rsid w:val="00C87FEE"/>
    <w:rsid w:val="00C87FEF"/>
    <w:rsid w:val="00C90009"/>
    <w:rsid w:val="00C90744"/>
    <w:rsid w:val="00C9092A"/>
    <w:rsid w:val="00C90B83"/>
    <w:rsid w:val="00C90BBD"/>
    <w:rsid w:val="00C90C3E"/>
    <w:rsid w:val="00C91245"/>
    <w:rsid w:val="00C913A5"/>
    <w:rsid w:val="00C9203F"/>
    <w:rsid w:val="00C922A2"/>
    <w:rsid w:val="00C922FE"/>
    <w:rsid w:val="00C9244B"/>
    <w:rsid w:val="00C9275A"/>
    <w:rsid w:val="00C927C2"/>
    <w:rsid w:val="00C928A9"/>
    <w:rsid w:val="00C92AAC"/>
    <w:rsid w:val="00C92C5F"/>
    <w:rsid w:val="00C92D0F"/>
    <w:rsid w:val="00C92E05"/>
    <w:rsid w:val="00C938CC"/>
    <w:rsid w:val="00C94282"/>
    <w:rsid w:val="00C94502"/>
    <w:rsid w:val="00C9467D"/>
    <w:rsid w:val="00C946D4"/>
    <w:rsid w:val="00C94C3E"/>
    <w:rsid w:val="00C94E45"/>
    <w:rsid w:val="00C953C4"/>
    <w:rsid w:val="00C95495"/>
    <w:rsid w:val="00C9552C"/>
    <w:rsid w:val="00C95547"/>
    <w:rsid w:val="00C95609"/>
    <w:rsid w:val="00C96202"/>
    <w:rsid w:val="00C96347"/>
    <w:rsid w:val="00C963A4"/>
    <w:rsid w:val="00C965E8"/>
    <w:rsid w:val="00C9677C"/>
    <w:rsid w:val="00C968A0"/>
    <w:rsid w:val="00C968E3"/>
    <w:rsid w:val="00C96958"/>
    <w:rsid w:val="00C96978"/>
    <w:rsid w:val="00C969A6"/>
    <w:rsid w:val="00C96D3F"/>
    <w:rsid w:val="00CA056D"/>
    <w:rsid w:val="00CA0BC7"/>
    <w:rsid w:val="00CA0BFD"/>
    <w:rsid w:val="00CA131E"/>
    <w:rsid w:val="00CA145D"/>
    <w:rsid w:val="00CA17E1"/>
    <w:rsid w:val="00CA19DF"/>
    <w:rsid w:val="00CA1E66"/>
    <w:rsid w:val="00CA1E8B"/>
    <w:rsid w:val="00CA210A"/>
    <w:rsid w:val="00CA2216"/>
    <w:rsid w:val="00CA225B"/>
    <w:rsid w:val="00CA24A0"/>
    <w:rsid w:val="00CA29A1"/>
    <w:rsid w:val="00CA30E0"/>
    <w:rsid w:val="00CA3181"/>
    <w:rsid w:val="00CA337D"/>
    <w:rsid w:val="00CA35D8"/>
    <w:rsid w:val="00CA379C"/>
    <w:rsid w:val="00CA3833"/>
    <w:rsid w:val="00CA3E4A"/>
    <w:rsid w:val="00CA4399"/>
    <w:rsid w:val="00CA447B"/>
    <w:rsid w:val="00CA4522"/>
    <w:rsid w:val="00CA474F"/>
    <w:rsid w:val="00CA4918"/>
    <w:rsid w:val="00CA498C"/>
    <w:rsid w:val="00CA4DB7"/>
    <w:rsid w:val="00CA511A"/>
    <w:rsid w:val="00CA5355"/>
    <w:rsid w:val="00CA53EF"/>
    <w:rsid w:val="00CA5C51"/>
    <w:rsid w:val="00CA63BE"/>
    <w:rsid w:val="00CA6733"/>
    <w:rsid w:val="00CA6AB7"/>
    <w:rsid w:val="00CB0135"/>
    <w:rsid w:val="00CB013E"/>
    <w:rsid w:val="00CB063D"/>
    <w:rsid w:val="00CB0EA5"/>
    <w:rsid w:val="00CB0F41"/>
    <w:rsid w:val="00CB1292"/>
    <w:rsid w:val="00CB14C9"/>
    <w:rsid w:val="00CB1556"/>
    <w:rsid w:val="00CB1656"/>
    <w:rsid w:val="00CB1BD1"/>
    <w:rsid w:val="00CB1E9D"/>
    <w:rsid w:val="00CB20C2"/>
    <w:rsid w:val="00CB20E5"/>
    <w:rsid w:val="00CB213D"/>
    <w:rsid w:val="00CB2170"/>
    <w:rsid w:val="00CB2322"/>
    <w:rsid w:val="00CB25DB"/>
    <w:rsid w:val="00CB2699"/>
    <w:rsid w:val="00CB2F18"/>
    <w:rsid w:val="00CB2F6D"/>
    <w:rsid w:val="00CB306D"/>
    <w:rsid w:val="00CB330F"/>
    <w:rsid w:val="00CB333A"/>
    <w:rsid w:val="00CB3968"/>
    <w:rsid w:val="00CB39C3"/>
    <w:rsid w:val="00CB39CD"/>
    <w:rsid w:val="00CB3BBB"/>
    <w:rsid w:val="00CB3DFB"/>
    <w:rsid w:val="00CB3EF2"/>
    <w:rsid w:val="00CB411E"/>
    <w:rsid w:val="00CB437A"/>
    <w:rsid w:val="00CB490A"/>
    <w:rsid w:val="00CB4FDC"/>
    <w:rsid w:val="00CB508F"/>
    <w:rsid w:val="00CB51BD"/>
    <w:rsid w:val="00CB5303"/>
    <w:rsid w:val="00CB5615"/>
    <w:rsid w:val="00CB595A"/>
    <w:rsid w:val="00CB5B60"/>
    <w:rsid w:val="00CB5FCD"/>
    <w:rsid w:val="00CB6102"/>
    <w:rsid w:val="00CB613C"/>
    <w:rsid w:val="00CB67A9"/>
    <w:rsid w:val="00CB6DEC"/>
    <w:rsid w:val="00CB702D"/>
    <w:rsid w:val="00CB7CAA"/>
    <w:rsid w:val="00CB7D2B"/>
    <w:rsid w:val="00CB7E83"/>
    <w:rsid w:val="00CC022F"/>
    <w:rsid w:val="00CC05D9"/>
    <w:rsid w:val="00CC098B"/>
    <w:rsid w:val="00CC0A12"/>
    <w:rsid w:val="00CC0BB4"/>
    <w:rsid w:val="00CC0D89"/>
    <w:rsid w:val="00CC0D94"/>
    <w:rsid w:val="00CC0E23"/>
    <w:rsid w:val="00CC10BC"/>
    <w:rsid w:val="00CC124A"/>
    <w:rsid w:val="00CC13B7"/>
    <w:rsid w:val="00CC18D1"/>
    <w:rsid w:val="00CC19F9"/>
    <w:rsid w:val="00CC1C6C"/>
    <w:rsid w:val="00CC1D6E"/>
    <w:rsid w:val="00CC25B7"/>
    <w:rsid w:val="00CC2660"/>
    <w:rsid w:val="00CC27A6"/>
    <w:rsid w:val="00CC27F0"/>
    <w:rsid w:val="00CC2EF0"/>
    <w:rsid w:val="00CC37A3"/>
    <w:rsid w:val="00CC3830"/>
    <w:rsid w:val="00CC3882"/>
    <w:rsid w:val="00CC4307"/>
    <w:rsid w:val="00CC45B8"/>
    <w:rsid w:val="00CC46C6"/>
    <w:rsid w:val="00CC49E8"/>
    <w:rsid w:val="00CC4A96"/>
    <w:rsid w:val="00CC5299"/>
    <w:rsid w:val="00CC5813"/>
    <w:rsid w:val="00CC5F6C"/>
    <w:rsid w:val="00CC608D"/>
    <w:rsid w:val="00CC6231"/>
    <w:rsid w:val="00CC652B"/>
    <w:rsid w:val="00CC65BB"/>
    <w:rsid w:val="00CC6600"/>
    <w:rsid w:val="00CC66E0"/>
    <w:rsid w:val="00CC6861"/>
    <w:rsid w:val="00CC6B9C"/>
    <w:rsid w:val="00CC6F0E"/>
    <w:rsid w:val="00CC7109"/>
    <w:rsid w:val="00CC7158"/>
    <w:rsid w:val="00CC72AC"/>
    <w:rsid w:val="00CC7598"/>
    <w:rsid w:val="00CC7865"/>
    <w:rsid w:val="00CC79E0"/>
    <w:rsid w:val="00CC7E99"/>
    <w:rsid w:val="00CD0151"/>
    <w:rsid w:val="00CD02D2"/>
    <w:rsid w:val="00CD0453"/>
    <w:rsid w:val="00CD05EB"/>
    <w:rsid w:val="00CD0712"/>
    <w:rsid w:val="00CD0974"/>
    <w:rsid w:val="00CD138D"/>
    <w:rsid w:val="00CD1E86"/>
    <w:rsid w:val="00CD213B"/>
    <w:rsid w:val="00CD23DE"/>
    <w:rsid w:val="00CD2568"/>
    <w:rsid w:val="00CD26D1"/>
    <w:rsid w:val="00CD2CFC"/>
    <w:rsid w:val="00CD2E94"/>
    <w:rsid w:val="00CD2FA2"/>
    <w:rsid w:val="00CD30FC"/>
    <w:rsid w:val="00CD33E5"/>
    <w:rsid w:val="00CD3768"/>
    <w:rsid w:val="00CD3B64"/>
    <w:rsid w:val="00CD4108"/>
    <w:rsid w:val="00CD4718"/>
    <w:rsid w:val="00CD475C"/>
    <w:rsid w:val="00CD4A3A"/>
    <w:rsid w:val="00CD4B77"/>
    <w:rsid w:val="00CD4FAD"/>
    <w:rsid w:val="00CD504D"/>
    <w:rsid w:val="00CD5250"/>
    <w:rsid w:val="00CD592B"/>
    <w:rsid w:val="00CD6272"/>
    <w:rsid w:val="00CD64D2"/>
    <w:rsid w:val="00CD6512"/>
    <w:rsid w:val="00CD6C98"/>
    <w:rsid w:val="00CD6E3E"/>
    <w:rsid w:val="00CD7C56"/>
    <w:rsid w:val="00CD7DFB"/>
    <w:rsid w:val="00CD7F36"/>
    <w:rsid w:val="00CE06EE"/>
    <w:rsid w:val="00CE08B2"/>
    <w:rsid w:val="00CE1245"/>
    <w:rsid w:val="00CE1483"/>
    <w:rsid w:val="00CE182C"/>
    <w:rsid w:val="00CE2312"/>
    <w:rsid w:val="00CE248B"/>
    <w:rsid w:val="00CE25C5"/>
    <w:rsid w:val="00CE297C"/>
    <w:rsid w:val="00CE2CBE"/>
    <w:rsid w:val="00CE36CD"/>
    <w:rsid w:val="00CE3719"/>
    <w:rsid w:val="00CE43FB"/>
    <w:rsid w:val="00CE453E"/>
    <w:rsid w:val="00CE4628"/>
    <w:rsid w:val="00CE463F"/>
    <w:rsid w:val="00CE4CC6"/>
    <w:rsid w:val="00CE4F09"/>
    <w:rsid w:val="00CE5200"/>
    <w:rsid w:val="00CE532D"/>
    <w:rsid w:val="00CE5663"/>
    <w:rsid w:val="00CE56C1"/>
    <w:rsid w:val="00CE593B"/>
    <w:rsid w:val="00CE5B1E"/>
    <w:rsid w:val="00CE5E45"/>
    <w:rsid w:val="00CE61E9"/>
    <w:rsid w:val="00CE631C"/>
    <w:rsid w:val="00CE67F1"/>
    <w:rsid w:val="00CE68D6"/>
    <w:rsid w:val="00CE6AB5"/>
    <w:rsid w:val="00CE6FCC"/>
    <w:rsid w:val="00CE72F1"/>
    <w:rsid w:val="00CE7695"/>
    <w:rsid w:val="00CE7935"/>
    <w:rsid w:val="00CF0004"/>
    <w:rsid w:val="00CF0025"/>
    <w:rsid w:val="00CF062F"/>
    <w:rsid w:val="00CF063C"/>
    <w:rsid w:val="00CF0BF6"/>
    <w:rsid w:val="00CF0D2A"/>
    <w:rsid w:val="00CF0F24"/>
    <w:rsid w:val="00CF13A9"/>
    <w:rsid w:val="00CF15CB"/>
    <w:rsid w:val="00CF16A4"/>
    <w:rsid w:val="00CF200C"/>
    <w:rsid w:val="00CF28C4"/>
    <w:rsid w:val="00CF2928"/>
    <w:rsid w:val="00CF29E2"/>
    <w:rsid w:val="00CF2A15"/>
    <w:rsid w:val="00CF32A8"/>
    <w:rsid w:val="00CF32AC"/>
    <w:rsid w:val="00CF3A62"/>
    <w:rsid w:val="00CF3D96"/>
    <w:rsid w:val="00CF45E9"/>
    <w:rsid w:val="00CF4822"/>
    <w:rsid w:val="00CF4907"/>
    <w:rsid w:val="00CF4AC2"/>
    <w:rsid w:val="00CF4B23"/>
    <w:rsid w:val="00CF4F61"/>
    <w:rsid w:val="00CF50B3"/>
    <w:rsid w:val="00CF51B3"/>
    <w:rsid w:val="00CF5274"/>
    <w:rsid w:val="00CF53B6"/>
    <w:rsid w:val="00CF541C"/>
    <w:rsid w:val="00CF5432"/>
    <w:rsid w:val="00CF5695"/>
    <w:rsid w:val="00CF5BB4"/>
    <w:rsid w:val="00CF6069"/>
    <w:rsid w:val="00CF6353"/>
    <w:rsid w:val="00CF65D3"/>
    <w:rsid w:val="00CF6923"/>
    <w:rsid w:val="00CF6ABE"/>
    <w:rsid w:val="00CF6BC4"/>
    <w:rsid w:val="00CF6EFC"/>
    <w:rsid w:val="00CF700E"/>
    <w:rsid w:val="00CF7446"/>
    <w:rsid w:val="00CF78F9"/>
    <w:rsid w:val="00CF7BD1"/>
    <w:rsid w:val="00CF7C0C"/>
    <w:rsid w:val="00CF7D5E"/>
    <w:rsid w:val="00D00145"/>
    <w:rsid w:val="00D001E0"/>
    <w:rsid w:val="00D007AC"/>
    <w:rsid w:val="00D00CB4"/>
    <w:rsid w:val="00D01092"/>
    <w:rsid w:val="00D0115D"/>
    <w:rsid w:val="00D013D9"/>
    <w:rsid w:val="00D01410"/>
    <w:rsid w:val="00D01670"/>
    <w:rsid w:val="00D01C64"/>
    <w:rsid w:val="00D0216F"/>
    <w:rsid w:val="00D024D2"/>
    <w:rsid w:val="00D02E68"/>
    <w:rsid w:val="00D03172"/>
    <w:rsid w:val="00D03290"/>
    <w:rsid w:val="00D03430"/>
    <w:rsid w:val="00D039A8"/>
    <w:rsid w:val="00D03C76"/>
    <w:rsid w:val="00D0446E"/>
    <w:rsid w:val="00D0476B"/>
    <w:rsid w:val="00D04828"/>
    <w:rsid w:val="00D049DA"/>
    <w:rsid w:val="00D04DE0"/>
    <w:rsid w:val="00D051AF"/>
    <w:rsid w:val="00D05232"/>
    <w:rsid w:val="00D052FB"/>
    <w:rsid w:val="00D054BD"/>
    <w:rsid w:val="00D05525"/>
    <w:rsid w:val="00D06411"/>
    <w:rsid w:val="00D0643B"/>
    <w:rsid w:val="00D06786"/>
    <w:rsid w:val="00D0687B"/>
    <w:rsid w:val="00D06E8F"/>
    <w:rsid w:val="00D06FC9"/>
    <w:rsid w:val="00D07057"/>
    <w:rsid w:val="00D079EF"/>
    <w:rsid w:val="00D10002"/>
    <w:rsid w:val="00D10271"/>
    <w:rsid w:val="00D104AC"/>
    <w:rsid w:val="00D1071B"/>
    <w:rsid w:val="00D10AFF"/>
    <w:rsid w:val="00D10B97"/>
    <w:rsid w:val="00D10D5A"/>
    <w:rsid w:val="00D10DE9"/>
    <w:rsid w:val="00D11522"/>
    <w:rsid w:val="00D11553"/>
    <w:rsid w:val="00D11A5F"/>
    <w:rsid w:val="00D11B7A"/>
    <w:rsid w:val="00D11BF8"/>
    <w:rsid w:val="00D11D72"/>
    <w:rsid w:val="00D11DCF"/>
    <w:rsid w:val="00D11ED4"/>
    <w:rsid w:val="00D12800"/>
    <w:rsid w:val="00D12E9E"/>
    <w:rsid w:val="00D1334D"/>
    <w:rsid w:val="00D1365B"/>
    <w:rsid w:val="00D1366B"/>
    <w:rsid w:val="00D138B9"/>
    <w:rsid w:val="00D13AE8"/>
    <w:rsid w:val="00D13D73"/>
    <w:rsid w:val="00D142CB"/>
    <w:rsid w:val="00D1453D"/>
    <w:rsid w:val="00D1476A"/>
    <w:rsid w:val="00D147F8"/>
    <w:rsid w:val="00D148D8"/>
    <w:rsid w:val="00D14C11"/>
    <w:rsid w:val="00D14E09"/>
    <w:rsid w:val="00D1514C"/>
    <w:rsid w:val="00D15ACA"/>
    <w:rsid w:val="00D15E04"/>
    <w:rsid w:val="00D15E70"/>
    <w:rsid w:val="00D15F85"/>
    <w:rsid w:val="00D1600E"/>
    <w:rsid w:val="00D164F8"/>
    <w:rsid w:val="00D16515"/>
    <w:rsid w:val="00D1654E"/>
    <w:rsid w:val="00D16925"/>
    <w:rsid w:val="00D1694A"/>
    <w:rsid w:val="00D16B2F"/>
    <w:rsid w:val="00D16ED8"/>
    <w:rsid w:val="00D16F75"/>
    <w:rsid w:val="00D17268"/>
    <w:rsid w:val="00D177A1"/>
    <w:rsid w:val="00D177C2"/>
    <w:rsid w:val="00D17C10"/>
    <w:rsid w:val="00D20301"/>
    <w:rsid w:val="00D2045B"/>
    <w:rsid w:val="00D207CC"/>
    <w:rsid w:val="00D208E1"/>
    <w:rsid w:val="00D20DFC"/>
    <w:rsid w:val="00D20E35"/>
    <w:rsid w:val="00D212F9"/>
    <w:rsid w:val="00D214D9"/>
    <w:rsid w:val="00D21799"/>
    <w:rsid w:val="00D218AB"/>
    <w:rsid w:val="00D21CAB"/>
    <w:rsid w:val="00D21EC0"/>
    <w:rsid w:val="00D2212C"/>
    <w:rsid w:val="00D221DE"/>
    <w:rsid w:val="00D2247B"/>
    <w:rsid w:val="00D224A2"/>
    <w:rsid w:val="00D226F9"/>
    <w:rsid w:val="00D227F6"/>
    <w:rsid w:val="00D22A85"/>
    <w:rsid w:val="00D2312E"/>
    <w:rsid w:val="00D233C1"/>
    <w:rsid w:val="00D23407"/>
    <w:rsid w:val="00D23418"/>
    <w:rsid w:val="00D2354D"/>
    <w:rsid w:val="00D23B3C"/>
    <w:rsid w:val="00D23C14"/>
    <w:rsid w:val="00D23DCA"/>
    <w:rsid w:val="00D24306"/>
    <w:rsid w:val="00D2432D"/>
    <w:rsid w:val="00D245B1"/>
    <w:rsid w:val="00D25072"/>
    <w:rsid w:val="00D25187"/>
    <w:rsid w:val="00D25417"/>
    <w:rsid w:val="00D25A97"/>
    <w:rsid w:val="00D25AEF"/>
    <w:rsid w:val="00D262ED"/>
    <w:rsid w:val="00D263DE"/>
    <w:rsid w:val="00D266E5"/>
    <w:rsid w:val="00D2682E"/>
    <w:rsid w:val="00D26920"/>
    <w:rsid w:val="00D26A93"/>
    <w:rsid w:val="00D27055"/>
    <w:rsid w:val="00D27319"/>
    <w:rsid w:val="00D273A0"/>
    <w:rsid w:val="00D274DB"/>
    <w:rsid w:val="00D27DBF"/>
    <w:rsid w:val="00D27F1C"/>
    <w:rsid w:val="00D3053B"/>
    <w:rsid w:val="00D30656"/>
    <w:rsid w:val="00D3073F"/>
    <w:rsid w:val="00D30B70"/>
    <w:rsid w:val="00D30F2A"/>
    <w:rsid w:val="00D31447"/>
    <w:rsid w:val="00D314DA"/>
    <w:rsid w:val="00D31C6B"/>
    <w:rsid w:val="00D321DE"/>
    <w:rsid w:val="00D3271E"/>
    <w:rsid w:val="00D32795"/>
    <w:rsid w:val="00D3283E"/>
    <w:rsid w:val="00D32850"/>
    <w:rsid w:val="00D3341C"/>
    <w:rsid w:val="00D33436"/>
    <w:rsid w:val="00D3357B"/>
    <w:rsid w:val="00D338A7"/>
    <w:rsid w:val="00D33A19"/>
    <w:rsid w:val="00D33F34"/>
    <w:rsid w:val="00D343AA"/>
    <w:rsid w:val="00D344F9"/>
    <w:rsid w:val="00D3471B"/>
    <w:rsid w:val="00D34A61"/>
    <w:rsid w:val="00D34AC2"/>
    <w:rsid w:val="00D34FE5"/>
    <w:rsid w:val="00D35193"/>
    <w:rsid w:val="00D3601C"/>
    <w:rsid w:val="00D362DE"/>
    <w:rsid w:val="00D364AC"/>
    <w:rsid w:val="00D3679D"/>
    <w:rsid w:val="00D36CB4"/>
    <w:rsid w:val="00D36FCE"/>
    <w:rsid w:val="00D3716C"/>
    <w:rsid w:val="00D371B6"/>
    <w:rsid w:val="00D371F4"/>
    <w:rsid w:val="00D37635"/>
    <w:rsid w:val="00D37811"/>
    <w:rsid w:val="00D37D78"/>
    <w:rsid w:val="00D37D8D"/>
    <w:rsid w:val="00D37F4A"/>
    <w:rsid w:val="00D4064F"/>
    <w:rsid w:val="00D407A5"/>
    <w:rsid w:val="00D40909"/>
    <w:rsid w:val="00D40925"/>
    <w:rsid w:val="00D414D9"/>
    <w:rsid w:val="00D4175E"/>
    <w:rsid w:val="00D41E3A"/>
    <w:rsid w:val="00D41EA1"/>
    <w:rsid w:val="00D426C0"/>
    <w:rsid w:val="00D42779"/>
    <w:rsid w:val="00D42D34"/>
    <w:rsid w:val="00D4374E"/>
    <w:rsid w:val="00D438FF"/>
    <w:rsid w:val="00D4395E"/>
    <w:rsid w:val="00D4406E"/>
    <w:rsid w:val="00D44744"/>
    <w:rsid w:val="00D44ABD"/>
    <w:rsid w:val="00D44D65"/>
    <w:rsid w:val="00D44DAB"/>
    <w:rsid w:val="00D44DC9"/>
    <w:rsid w:val="00D45747"/>
    <w:rsid w:val="00D45865"/>
    <w:rsid w:val="00D45977"/>
    <w:rsid w:val="00D45BAE"/>
    <w:rsid w:val="00D46482"/>
    <w:rsid w:val="00D468A9"/>
    <w:rsid w:val="00D46BDE"/>
    <w:rsid w:val="00D4735D"/>
    <w:rsid w:val="00D477EB"/>
    <w:rsid w:val="00D47A3D"/>
    <w:rsid w:val="00D47B0B"/>
    <w:rsid w:val="00D47C9C"/>
    <w:rsid w:val="00D47E1F"/>
    <w:rsid w:val="00D50371"/>
    <w:rsid w:val="00D5049C"/>
    <w:rsid w:val="00D5073C"/>
    <w:rsid w:val="00D50BE0"/>
    <w:rsid w:val="00D50E2D"/>
    <w:rsid w:val="00D50F43"/>
    <w:rsid w:val="00D50F6A"/>
    <w:rsid w:val="00D512AE"/>
    <w:rsid w:val="00D51691"/>
    <w:rsid w:val="00D51AA4"/>
    <w:rsid w:val="00D51D48"/>
    <w:rsid w:val="00D51E2A"/>
    <w:rsid w:val="00D51F66"/>
    <w:rsid w:val="00D52320"/>
    <w:rsid w:val="00D52419"/>
    <w:rsid w:val="00D52780"/>
    <w:rsid w:val="00D52E27"/>
    <w:rsid w:val="00D53B79"/>
    <w:rsid w:val="00D53E66"/>
    <w:rsid w:val="00D53F34"/>
    <w:rsid w:val="00D53F89"/>
    <w:rsid w:val="00D53FDC"/>
    <w:rsid w:val="00D5426F"/>
    <w:rsid w:val="00D54B8A"/>
    <w:rsid w:val="00D54CF8"/>
    <w:rsid w:val="00D5529E"/>
    <w:rsid w:val="00D552F7"/>
    <w:rsid w:val="00D557BD"/>
    <w:rsid w:val="00D55987"/>
    <w:rsid w:val="00D567CE"/>
    <w:rsid w:val="00D56902"/>
    <w:rsid w:val="00D56984"/>
    <w:rsid w:val="00D56A82"/>
    <w:rsid w:val="00D56B17"/>
    <w:rsid w:val="00D57069"/>
    <w:rsid w:val="00D579E1"/>
    <w:rsid w:val="00D57BB4"/>
    <w:rsid w:val="00D57F95"/>
    <w:rsid w:val="00D60624"/>
    <w:rsid w:val="00D60C52"/>
    <w:rsid w:val="00D60F95"/>
    <w:rsid w:val="00D6105D"/>
    <w:rsid w:val="00D611C4"/>
    <w:rsid w:val="00D61427"/>
    <w:rsid w:val="00D61D9F"/>
    <w:rsid w:val="00D61DEA"/>
    <w:rsid w:val="00D624A0"/>
    <w:rsid w:val="00D6303E"/>
    <w:rsid w:val="00D631E3"/>
    <w:rsid w:val="00D63425"/>
    <w:rsid w:val="00D63D84"/>
    <w:rsid w:val="00D64417"/>
    <w:rsid w:val="00D6457E"/>
    <w:rsid w:val="00D64836"/>
    <w:rsid w:val="00D649F3"/>
    <w:rsid w:val="00D64A9A"/>
    <w:rsid w:val="00D64B13"/>
    <w:rsid w:val="00D64B27"/>
    <w:rsid w:val="00D64D1F"/>
    <w:rsid w:val="00D64E4A"/>
    <w:rsid w:val="00D64F9F"/>
    <w:rsid w:val="00D652E0"/>
    <w:rsid w:val="00D655FD"/>
    <w:rsid w:val="00D6561B"/>
    <w:rsid w:val="00D65969"/>
    <w:rsid w:val="00D65A29"/>
    <w:rsid w:val="00D65D58"/>
    <w:rsid w:val="00D65EDA"/>
    <w:rsid w:val="00D66039"/>
    <w:rsid w:val="00D661AF"/>
    <w:rsid w:val="00D66370"/>
    <w:rsid w:val="00D66432"/>
    <w:rsid w:val="00D6644B"/>
    <w:rsid w:val="00D66722"/>
    <w:rsid w:val="00D668F2"/>
    <w:rsid w:val="00D66D02"/>
    <w:rsid w:val="00D66DF8"/>
    <w:rsid w:val="00D67680"/>
    <w:rsid w:val="00D67954"/>
    <w:rsid w:val="00D679AC"/>
    <w:rsid w:val="00D67B2B"/>
    <w:rsid w:val="00D7016C"/>
    <w:rsid w:val="00D70232"/>
    <w:rsid w:val="00D70441"/>
    <w:rsid w:val="00D705B2"/>
    <w:rsid w:val="00D7062D"/>
    <w:rsid w:val="00D70763"/>
    <w:rsid w:val="00D708C1"/>
    <w:rsid w:val="00D708E6"/>
    <w:rsid w:val="00D7098A"/>
    <w:rsid w:val="00D70A9F"/>
    <w:rsid w:val="00D70B8E"/>
    <w:rsid w:val="00D70C46"/>
    <w:rsid w:val="00D70DCD"/>
    <w:rsid w:val="00D712F6"/>
    <w:rsid w:val="00D714D9"/>
    <w:rsid w:val="00D71B4E"/>
    <w:rsid w:val="00D71B57"/>
    <w:rsid w:val="00D7235F"/>
    <w:rsid w:val="00D72690"/>
    <w:rsid w:val="00D72C56"/>
    <w:rsid w:val="00D730E3"/>
    <w:rsid w:val="00D7332D"/>
    <w:rsid w:val="00D73943"/>
    <w:rsid w:val="00D73FA9"/>
    <w:rsid w:val="00D75775"/>
    <w:rsid w:val="00D757C0"/>
    <w:rsid w:val="00D75863"/>
    <w:rsid w:val="00D758B0"/>
    <w:rsid w:val="00D76024"/>
    <w:rsid w:val="00D76085"/>
    <w:rsid w:val="00D76344"/>
    <w:rsid w:val="00D76520"/>
    <w:rsid w:val="00D765EE"/>
    <w:rsid w:val="00D767A9"/>
    <w:rsid w:val="00D7684D"/>
    <w:rsid w:val="00D76B80"/>
    <w:rsid w:val="00D77306"/>
    <w:rsid w:val="00D7731E"/>
    <w:rsid w:val="00D77603"/>
    <w:rsid w:val="00D77A4D"/>
    <w:rsid w:val="00D77BF7"/>
    <w:rsid w:val="00D77C31"/>
    <w:rsid w:val="00D77D59"/>
    <w:rsid w:val="00D77F8B"/>
    <w:rsid w:val="00D80109"/>
    <w:rsid w:val="00D8012A"/>
    <w:rsid w:val="00D8077A"/>
    <w:rsid w:val="00D8088D"/>
    <w:rsid w:val="00D8092B"/>
    <w:rsid w:val="00D80D5B"/>
    <w:rsid w:val="00D80DAF"/>
    <w:rsid w:val="00D80FBA"/>
    <w:rsid w:val="00D811B1"/>
    <w:rsid w:val="00D8146B"/>
    <w:rsid w:val="00D81C4C"/>
    <w:rsid w:val="00D81E72"/>
    <w:rsid w:val="00D826CE"/>
    <w:rsid w:val="00D8297D"/>
    <w:rsid w:val="00D82CB8"/>
    <w:rsid w:val="00D82D84"/>
    <w:rsid w:val="00D82FAD"/>
    <w:rsid w:val="00D830E5"/>
    <w:rsid w:val="00D8330D"/>
    <w:rsid w:val="00D833B8"/>
    <w:rsid w:val="00D83401"/>
    <w:rsid w:val="00D836C7"/>
    <w:rsid w:val="00D838E4"/>
    <w:rsid w:val="00D83A19"/>
    <w:rsid w:val="00D83AAE"/>
    <w:rsid w:val="00D83EDF"/>
    <w:rsid w:val="00D83EE2"/>
    <w:rsid w:val="00D84611"/>
    <w:rsid w:val="00D847CF"/>
    <w:rsid w:val="00D8490C"/>
    <w:rsid w:val="00D849A8"/>
    <w:rsid w:val="00D84BE7"/>
    <w:rsid w:val="00D84BEE"/>
    <w:rsid w:val="00D85281"/>
    <w:rsid w:val="00D853BC"/>
    <w:rsid w:val="00D85E8F"/>
    <w:rsid w:val="00D86244"/>
    <w:rsid w:val="00D86386"/>
    <w:rsid w:val="00D86500"/>
    <w:rsid w:val="00D8662D"/>
    <w:rsid w:val="00D86D5B"/>
    <w:rsid w:val="00D870D7"/>
    <w:rsid w:val="00D87131"/>
    <w:rsid w:val="00D87404"/>
    <w:rsid w:val="00D8764A"/>
    <w:rsid w:val="00D87816"/>
    <w:rsid w:val="00D87845"/>
    <w:rsid w:val="00D900C7"/>
    <w:rsid w:val="00D901AF"/>
    <w:rsid w:val="00D9035B"/>
    <w:rsid w:val="00D90550"/>
    <w:rsid w:val="00D90739"/>
    <w:rsid w:val="00D90994"/>
    <w:rsid w:val="00D90FD3"/>
    <w:rsid w:val="00D910B5"/>
    <w:rsid w:val="00D918F3"/>
    <w:rsid w:val="00D92149"/>
    <w:rsid w:val="00D928C4"/>
    <w:rsid w:val="00D92D84"/>
    <w:rsid w:val="00D93081"/>
    <w:rsid w:val="00D9308E"/>
    <w:rsid w:val="00D9314D"/>
    <w:rsid w:val="00D932DC"/>
    <w:rsid w:val="00D9344B"/>
    <w:rsid w:val="00D934BB"/>
    <w:rsid w:val="00D93554"/>
    <w:rsid w:val="00D935F3"/>
    <w:rsid w:val="00D93617"/>
    <w:rsid w:val="00D93676"/>
    <w:rsid w:val="00D93749"/>
    <w:rsid w:val="00D93786"/>
    <w:rsid w:val="00D93EB7"/>
    <w:rsid w:val="00D93FF1"/>
    <w:rsid w:val="00D940C2"/>
    <w:rsid w:val="00D94787"/>
    <w:rsid w:val="00D94B69"/>
    <w:rsid w:val="00D94C88"/>
    <w:rsid w:val="00D94D37"/>
    <w:rsid w:val="00D94F10"/>
    <w:rsid w:val="00D951D4"/>
    <w:rsid w:val="00D95347"/>
    <w:rsid w:val="00D95361"/>
    <w:rsid w:val="00D95496"/>
    <w:rsid w:val="00D95788"/>
    <w:rsid w:val="00D95A91"/>
    <w:rsid w:val="00D95CC8"/>
    <w:rsid w:val="00D95D34"/>
    <w:rsid w:val="00D96695"/>
    <w:rsid w:val="00D96A0A"/>
    <w:rsid w:val="00D96F22"/>
    <w:rsid w:val="00D96F3B"/>
    <w:rsid w:val="00D96F76"/>
    <w:rsid w:val="00D973C5"/>
    <w:rsid w:val="00D97553"/>
    <w:rsid w:val="00D97752"/>
    <w:rsid w:val="00D9780C"/>
    <w:rsid w:val="00D978B6"/>
    <w:rsid w:val="00D979E8"/>
    <w:rsid w:val="00D97C2B"/>
    <w:rsid w:val="00D97E4F"/>
    <w:rsid w:val="00DA0326"/>
    <w:rsid w:val="00DA06FB"/>
    <w:rsid w:val="00DA09FE"/>
    <w:rsid w:val="00DA10C2"/>
    <w:rsid w:val="00DA1471"/>
    <w:rsid w:val="00DA16C7"/>
    <w:rsid w:val="00DA1E7C"/>
    <w:rsid w:val="00DA27CE"/>
    <w:rsid w:val="00DA2B4A"/>
    <w:rsid w:val="00DA2E89"/>
    <w:rsid w:val="00DA2FEB"/>
    <w:rsid w:val="00DA31D7"/>
    <w:rsid w:val="00DA3741"/>
    <w:rsid w:val="00DA3ABB"/>
    <w:rsid w:val="00DA3ACB"/>
    <w:rsid w:val="00DA3B06"/>
    <w:rsid w:val="00DA3BCB"/>
    <w:rsid w:val="00DA4191"/>
    <w:rsid w:val="00DA4457"/>
    <w:rsid w:val="00DA46D2"/>
    <w:rsid w:val="00DA4835"/>
    <w:rsid w:val="00DA4900"/>
    <w:rsid w:val="00DA4CAA"/>
    <w:rsid w:val="00DA4CE4"/>
    <w:rsid w:val="00DA52E3"/>
    <w:rsid w:val="00DA575D"/>
    <w:rsid w:val="00DA58C6"/>
    <w:rsid w:val="00DA5991"/>
    <w:rsid w:val="00DA5C8B"/>
    <w:rsid w:val="00DA5DE4"/>
    <w:rsid w:val="00DA5F6F"/>
    <w:rsid w:val="00DA60F6"/>
    <w:rsid w:val="00DA64A2"/>
    <w:rsid w:val="00DA667F"/>
    <w:rsid w:val="00DA6832"/>
    <w:rsid w:val="00DA69E5"/>
    <w:rsid w:val="00DA6D21"/>
    <w:rsid w:val="00DA6F43"/>
    <w:rsid w:val="00DA745A"/>
    <w:rsid w:val="00DB0211"/>
    <w:rsid w:val="00DB03A6"/>
    <w:rsid w:val="00DB0436"/>
    <w:rsid w:val="00DB09FB"/>
    <w:rsid w:val="00DB1008"/>
    <w:rsid w:val="00DB1039"/>
    <w:rsid w:val="00DB10ED"/>
    <w:rsid w:val="00DB11D3"/>
    <w:rsid w:val="00DB156D"/>
    <w:rsid w:val="00DB16E1"/>
    <w:rsid w:val="00DB17D0"/>
    <w:rsid w:val="00DB1E9B"/>
    <w:rsid w:val="00DB1FDB"/>
    <w:rsid w:val="00DB23C7"/>
    <w:rsid w:val="00DB2779"/>
    <w:rsid w:val="00DB29F5"/>
    <w:rsid w:val="00DB2BD8"/>
    <w:rsid w:val="00DB2C78"/>
    <w:rsid w:val="00DB2DE4"/>
    <w:rsid w:val="00DB3007"/>
    <w:rsid w:val="00DB3150"/>
    <w:rsid w:val="00DB31D1"/>
    <w:rsid w:val="00DB34FC"/>
    <w:rsid w:val="00DB3764"/>
    <w:rsid w:val="00DB38D6"/>
    <w:rsid w:val="00DB3D1A"/>
    <w:rsid w:val="00DB3E94"/>
    <w:rsid w:val="00DB413C"/>
    <w:rsid w:val="00DB4896"/>
    <w:rsid w:val="00DB48B8"/>
    <w:rsid w:val="00DB49D6"/>
    <w:rsid w:val="00DB500E"/>
    <w:rsid w:val="00DB501B"/>
    <w:rsid w:val="00DB5900"/>
    <w:rsid w:val="00DB5DA6"/>
    <w:rsid w:val="00DB6D7B"/>
    <w:rsid w:val="00DB74FB"/>
    <w:rsid w:val="00DB7570"/>
    <w:rsid w:val="00DB7780"/>
    <w:rsid w:val="00DB79AE"/>
    <w:rsid w:val="00DC0063"/>
    <w:rsid w:val="00DC0124"/>
    <w:rsid w:val="00DC0162"/>
    <w:rsid w:val="00DC04F7"/>
    <w:rsid w:val="00DC05EB"/>
    <w:rsid w:val="00DC0B7C"/>
    <w:rsid w:val="00DC1909"/>
    <w:rsid w:val="00DC1BA8"/>
    <w:rsid w:val="00DC1ECA"/>
    <w:rsid w:val="00DC2061"/>
    <w:rsid w:val="00DC24C1"/>
    <w:rsid w:val="00DC25BE"/>
    <w:rsid w:val="00DC2FE7"/>
    <w:rsid w:val="00DC3221"/>
    <w:rsid w:val="00DC3B93"/>
    <w:rsid w:val="00DC416B"/>
    <w:rsid w:val="00DC443C"/>
    <w:rsid w:val="00DC471F"/>
    <w:rsid w:val="00DC4A08"/>
    <w:rsid w:val="00DC50A0"/>
    <w:rsid w:val="00DC53D4"/>
    <w:rsid w:val="00DC59EC"/>
    <w:rsid w:val="00DC5C3C"/>
    <w:rsid w:val="00DC5C47"/>
    <w:rsid w:val="00DC5DEC"/>
    <w:rsid w:val="00DC6273"/>
    <w:rsid w:val="00DC6315"/>
    <w:rsid w:val="00DC633C"/>
    <w:rsid w:val="00DC784F"/>
    <w:rsid w:val="00DC78C3"/>
    <w:rsid w:val="00DC7ACA"/>
    <w:rsid w:val="00DC7B8A"/>
    <w:rsid w:val="00DC7ED3"/>
    <w:rsid w:val="00DD0521"/>
    <w:rsid w:val="00DD05E5"/>
    <w:rsid w:val="00DD06C6"/>
    <w:rsid w:val="00DD094D"/>
    <w:rsid w:val="00DD0B73"/>
    <w:rsid w:val="00DD0DFB"/>
    <w:rsid w:val="00DD14A8"/>
    <w:rsid w:val="00DD1D65"/>
    <w:rsid w:val="00DD2293"/>
    <w:rsid w:val="00DD22F2"/>
    <w:rsid w:val="00DD2644"/>
    <w:rsid w:val="00DD284D"/>
    <w:rsid w:val="00DD2A67"/>
    <w:rsid w:val="00DD2C86"/>
    <w:rsid w:val="00DD2C95"/>
    <w:rsid w:val="00DD2E7A"/>
    <w:rsid w:val="00DD31D6"/>
    <w:rsid w:val="00DD353F"/>
    <w:rsid w:val="00DD364C"/>
    <w:rsid w:val="00DD3DD2"/>
    <w:rsid w:val="00DD3F35"/>
    <w:rsid w:val="00DD442D"/>
    <w:rsid w:val="00DD445D"/>
    <w:rsid w:val="00DD4542"/>
    <w:rsid w:val="00DD490E"/>
    <w:rsid w:val="00DD4A00"/>
    <w:rsid w:val="00DD4B92"/>
    <w:rsid w:val="00DD4BDE"/>
    <w:rsid w:val="00DD4DC7"/>
    <w:rsid w:val="00DD506E"/>
    <w:rsid w:val="00DD541D"/>
    <w:rsid w:val="00DD55F0"/>
    <w:rsid w:val="00DD577D"/>
    <w:rsid w:val="00DD5E14"/>
    <w:rsid w:val="00DD6071"/>
    <w:rsid w:val="00DD622A"/>
    <w:rsid w:val="00DD6B9C"/>
    <w:rsid w:val="00DD6E69"/>
    <w:rsid w:val="00DD7107"/>
    <w:rsid w:val="00DD77D5"/>
    <w:rsid w:val="00DD7848"/>
    <w:rsid w:val="00DD7932"/>
    <w:rsid w:val="00DD7D50"/>
    <w:rsid w:val="00DD7E42"/>
    <w:rsid w:val="00DE02DD"/>
    <w:rsid w:val="00DE051E"/>
    <w:rsid w:val="00DE0C1E"/>
    <w:rsid w:val="00DE0C96"/>
    <w:rsid w:val="00DE0C97"/>
    <w:rsid w:val="00DE0F0D"/>
    <w:rsid w:val="00DE104C"/>
    <w:rsid w:val="00DE1126"/>
    <w:rsid w:val="00DE1194"/>
    <w:rsid w:val="00DE16D2"/>
    <w:rsid w:val="00DE1B13"/>
    <w:rsid w:val="00DE1D23"/>
    <w:rsid w:val="00DE1D9B"/>
    <w:rsid w:val="00DE1E5D"/>
    <w:rsid w:val="00DE2487"/>
    <w:rsid w:val="00DE288F"/>
    <w:rsid w:val="00DE28C8"/>
    <w:rsid w:val="00DE299A"/>
    <w:rsid w:val="00DE2A3A"/>
    <w:rsid w:val="00DE2BAA"/>
    <w:rsid w:val="00DE364D"/>
    <w:rsid w:val="00DE36AD"/>
    <w:rsid w:val="00DE36CB"/>
    <w:rsid w:val="00DE378F"/>
    <w:rsid w:val="00DE3B99"/>
    <w:rsid w:val="00DE3C76"/>
    <w:rsid w:val="00DE3D5A"/>
    <w:rsid w:val="00DE3E86"/>
    <w:rsid w:val="00DE4045"/>
    <w:rsid w:val="00DE4320"/>
    <w:rsid w:val="00DE45AC"/>
    <w:rsid w:val="00DE49BF"/>
    <w:rsid w:val="00DE4A0B"/>
    <w:rsid w:val="00DE4C70"/>
    <w:rsid w:val="00DE5DDF"/>
    <w:rsid w:val="00DE5F20"/>
    <w:rsid w:val="00DE614A"/>
    <w:rsid w:val="00DE6156"/>
    <w:rsid w:val="00DE6189"/>
    <w:rsid w:val="00DE61F7"/>
    <w:rsid w:val="00DE624D"/>
    <w:rsid w:val="00DE6599"/>
    <w:rsid w:val="00DE6A48"/>
    <w:rsid w:val="00DE6E04"/>
    <w:rsid w:val="00DE7112"/>
    <w:rsid w:val="00DE7481"/>
    <w:rsid w:val="00DE7987"/>
    <w:rsid w:val="00DE7A39"/>
    <w:rsid w:val="00DF01E2"/>
    <w:rsid w:val="00DF0447"/>
    <w:rsid w:val="00DF111F"/>
    <w:rsid w:val="00DF13A7"/>
    <w:rsid w:val="00DF1A8C"/>
    <w:rsid w:val="00DF1F12"/>
    <w:rsid w:val="00DF2E05"/>
    <w:rsid w:val="00DF30EA"/>
    <w:rsid w:val="00DF32B9"/>
    <w:rsid w:val="00DF3312"/>
    <w:rsid w:val="00DF3339"/>
    <w:rsid w:val="00DF333B"/>
    <w:rsid w:val="00DF34C2"/>
    <w:rsid w:val="00DF374D"/>
    <w:rsid w:val="00DF3D20"/>
    <w:rsid w:val="00DF3D5B"/>
    <w:rsid w:val="00DF3D69"/>
    <w:rsid w:val="00DF41E9"/>
    <w:rsid w:val="00DF425C"/>
    <w:rsid w:val="00DF4E0D"/>
    <w:rsid w:val="00DF53E2"/>
    <w:rsid w:val="00DF5563"/>
    <w:rsid w:val="00DF5DA9"/>
    <w:rsid w:val="00DF5EF0"/>
    <w:rsid w:val="00DF66B6"/>
    <w:rsid w:val="00DF6736"/>
    <w:rsid w:val="00DF68A7"/>
    <w:rsid w:val="00DF7171"/>
    <w:rsid w:val="00DF765F"/>
    <w:rsid w:val="00DF76EB"/>
    <w:rsid w:val="00DF78B9"/>
    <w:rsid w:val="00DF7B14"/>
    <w:rsid w:val="00E000D3"/>
    <w:rsid w:val="00E001DA"/>
    <w:rsid w:val="00E001EF"/>
    <w:rsid w:val="00E00997"/>
    <w:rsid w:val="00E009B4"/>
    <w:rsid w:val="00E00ECA"/>
    <w:rsid w:val="00E01235"/>
    <w:rsid w:val="00E012F1"/>
    <w:rsid w:val="00E0152D"/>
    <w:rsid w:val="00E02510"/>
    <w:rsid w:val="00E0288D"/>
    <w:rsid w:val="00E0295C"/>
    <w:rsid w:val="00E03EC9"/>
    <w:rsid w:val="00E04130"/>
    <w:rsid w:val="00E0417F"/>
    <w:rsid w:val="00E043B8"/>
    <w:rsid w:val="00E049A0"/>
    <w:rsid w:val="00E04A90"/>
    <w:rsid w:val="00E04CCB"/>
    <w:rsid w:val="00E05883"/>
    <w:rsid w:val="00E05A37"/>
    <w:rsid w:val="00E05F63"/>
    <w:rsid w:val="00E068B3"/>
    <w:rsid w:val="00E069A2"/>
    <w:rsid w:val="00E06E9C"/>
    <w:rsid w:val="00E07065"/>
    <w:rsid w:val="00E070B1"/>
    <w:rsid w:val="00E072DF"/>
    <w:rsid w:val="00E073CB"/>
    <w:rsid w:val="00E074ED"/>
    <w:rsid w:val="00E07AE9"/>
    <w:rsid w:val="00E07C32"/>
    <w:rsid w:val="00E07D9D"/>
    <w:rsid w:val="00E1006C"/>
    <w:rsid w:val="00E1030D"/>
    <w:rsid w:val="00E106E0"/>
    <w:rsid w:val="00E109EA"/>
    <w:rsid w:val="00E10AD8"/>
    <w:rsid w:val="00E10AFF"/>
    <w:rsid w:val="00E10B9B"/>
    <w:rsid w:val="00E10EE7"/>
    <w:rsid w:val="00E11174"/>
    <w:rsid w:val="00E11847"/>
    <w:rsid w:val="00E11914"/>
    <w:rsid w:val="00E11B6E"/>
    <w:rsid w:val="00E11B78"/>
    <w:rsid w:val="00E120A1"/>
    <w:rsid w:val="00E12157"/>
    <w:rsid w:val="00E12303"/>
    <w:rsid w:val="00E123C3"/>
    <w:rsid w:val="00E12841"/>
    <w:rsid w:val="00E1294F"/>
    <w:rsid w:val="00E1322F"/>
    <w:rsid w:val="00E141B2"/>
    <w:rsid w:val="00E14ACB"/>
    <w:rsid w:val="00E14F53"/>
    <w:rsid w:val="00E15082"/>
    <w:rsid w:val="00E15A3F"/>
    <w:rsid w:val="00E15CAD"/>
    <w:rsid w:val="00E15F03"/>
    <w:rsid w:val="00E16171"/>
    <w:rsid w:val="00E1640F"/>
    <w:rsid w:val="00E167F8"/>
    <w:rsid w:val="00E1705C"/>
    <w:rsid w:val="00E1721F"/>
    <w:rsid w:val="00E17773"/>
    <w:rsid w:val="00E177CE"/>
    <w:rsid w:val="00E179B5"/>
    <w:rsid w:val="00E2032D"/>
    <w:rsid w:val="00E2048E"/>
    <w:rsid w:val="00E20523"/>
    <w:rsid w:val="00E206A2"/>
    <w:rsid w:val="00E206D3"/>
    <w:rsid w:val="00E20881"/>
    <w:rsid w:val="00E20A0A"/>
    <w:rsid w:val="00E20C61"/>
    <w:rsid w:val="00E20C90"/>
    <w:rsid w:val="00E20C94"/>
    <w:rsid w:val="00E21008"/>
    <w:rsid w:val="00E21099"/>
    <w:rsid w:val="00E21825"/>
    <w:rsid w:val="00E21D05"/>
    <w:rsid w:val="00E21E8C"/>
    <w:rsid w:val="00E21F79"/>
    <w:rsid w:val="00E220BB"/>
    <w:rsid w:val="00E22283"/>
    <w:rsid w:val="00E22330"/>
    <w:rsid w:val="00E2244E"/>
    <w:rsid w:val="00E22525"/>
    <w:rsid w:val="00E2268B"/>
    <w:rsid w:val="00E226A9"/>
    <w:rsid w:val="00E2273F"/>
    <w:rsid w:val="00E22A88"/>
    <w:rsid w:val="00E22BB1"/>
    <w:rsid w:val="00E22BD5"/>
    <w:rsid w:val="00E22C1D"/>
    <w:rsid w:val="00E232C4"/>
    <w:rsid w:val="00E23699"/>
    <w:rsid w:val="00E236FC"/>
    <w:rsid w:val="00E238CD"/>
    <w:rsid w:val="00E23C6E"/>
    <w:rsid w:val="00E23D20"/>
    <w:rsid w:val="00E2404F"/>
    <w:rsid w:val="00E240B2"/>
    <w:rsid w:val="00E243C2"/>
    <w:rsid w:val="00E24A5B"/>
    <w:rsid w:val="00E24CFB"/>
    <w:rsid w:val="00E24DAF"/>
    <w:rsid w:val="00E252F0"/>
    <w:rsid w:val="00E254AD"/>
    <w:rsid w:val="00E25A4E"/>
    <w:rsid w:val="00E25B1B"/>
    <w:rsid w:val="00E2683E"/>
    <w:rsid w:val="00E26A9B"/>
    <w:rsid w:val="00E26C2F"/>
    <w:rsid w:val="00E26D4F"/>
    <w:rsid w:val="00E2725E"/>
    <w:rsid w:val="00E27961"/>
    <w:rsid w:val="00E3068E"/>
    <w:rsid w:val="00E310C1"/>
    <w:rsid w:val="00E31246"/>
    <w:rsid w:val="00E3131A"/>
    <w:rsid w:val="00E316B5"/>
    <w:rsid w:val="00E318FA"/>
    <w:rsid w:val="00E31A23"/>
    <w:rsid w:val="00E32028"/>
    <w:rsid w:val="00E32108"/>
    <w:rsid w:val="00E322A5"/>
    <w:rsid w:val="00E323E2"/>
    <w:rsid w:val="00E328EA"/>
    <w:rsid w:val="00E32946"/>
    <w:rsid w:val="00E33026"/>
    <w:rsid w:val="00E33394"/>
    <w:rsid w:val="00E333EF"/>
    <w:rsid w:val="00E3391E"/>
    <w:rsid w:val="00E339B8"/>
    <w:rsid w:val="00E339D6"/>
    <w:rsid w:val="00E339ED"/>
    <w:rsid w:val="00E33D81"/>
    <w:rsid w:val="00E34715"/>
    <w:rsid w:val="00E347B7"/>
    <w:rsid w:val="00E34E9E"/>
    <w:rsid w:val="00E35067"/>
    <w:rsid w:val="00E35096"/>
    <w:rsid w:val="00E351D1"/>
    <w:rsid w:val="00E352B5"/>
    <w:rsid w:val="00E353ED"/>
    <w:rsid w:val="00E35703"/>
    <w:rsid w:val="00E35C47"/>
    <w:rsid w:val="00E35FBB"/>
    <w:rsid w:val="00E360F6"/>
    <w:rsid w:val="00E3627D"/>
    <w:rsid w:val="00E36299"/>
    <w:rsid w:val="00E3635D"/>
    <w:rsid w:val="00E36786"/>
    <w:rsid w:val="00E36A85"/>
    <w:rsid w:val="00E36D90"/>
    <w:rsid w:val="00E37084"/>
    <w:rsid w:val="00E37739"/>
    <w:rsid w:val="00E37D89"/>
    <w:rsid w:val="00E37EFD"/>
    <w:rsid w:val="00E40001"/>
    <w:rsid w:val="00E4013E"/>
    <w:rsid w:val="00E40C05"/>
    <w:rsid w:val="00E40E2B"/>
    <w:rsid w:val="00E40ED2"/>
    <w:rsid w:val="00E413F2"/>
    <w:rsid w:val="00E416DB"/>
    <w:rsid w:val="00E4172A"/>
    <w:rsid w:val="00E41EB3"/>
    <w:rsid w:val="00E41EFB"/>
    <w:rsid w:val="00E425E7"/>
    <w:rsid w:val="00E4299C"/>
    <w:rsid w:val="00E42A97"/>
    <w:rsid w:val="00E43376"/>
    <w:rsid w:val="00E4372D"/>
    <w:rsid w:val="00E43B05"/>
    <w:rsid w:val="00E43B72"/>
    <w:rsid w:val="00E43C54"/>
    <w:rsid w:val="00E43D55"/>
    <w:rsid w:val="00E44108"/>
    <w:rsid w:val="00E4429C"/>
    <w:rsid w:val="00E44EA3"/>
    <w:rsid w:val="00E4558B"/>
    <w:rsid w:val="00E45922"/>
    <w:rsid w:val="00E45A9C"/>
    <w:rsid w:val="00E45B1B"/>
    <w:rsid w:val="00E45D28"/>
    <w:rsid w:val="00E45E3C"/>
    <w:rsid w:val="00E45E9B"/>
    <w:rsid w:val="00E462CB"/>
    <w:rsid w:val="00E465EF"/>
    <w:rsid w:val="00E4665E"/>
    <w:rsid w:val="00E4682C"/>
    <w:rsid w:val="00E4683E"/>
    <w:rsid w:val="00E46B93"/>
    <w:rsid w:val="00E46BAF"/>
    <w:rsid w:val="00E46C2A"/>
    <w:rsid w:val="00E47571"/>
    <w:rsid w:val="00E47723"/>
    <w:rsid w:val="00E47C6B"/>
    <w:rsid w:val="00E50283"/>
    <w:rsid w:val="00E50344"/>
    <w:rsid w:val="00E50BBA"/>
    <w:rsid w:val="00E50BD6"/>
    <w:rsid w:val="00E50BF3"/>
    <w:rsid w:val="00E50C7A"/>
    <w:rsid w:val="00E50E1F"/>
    <w:rsid w:val="00E50E49"/>
    <w:rsid w:val="00E50FAD"/>
    <w:rsid w:val="00E512DB"/>
    <w:rsid w:val="00E519F0"/>
    <w:rsid w:val="00E519F9"/>
    <w:rsid w:val="00E52321"/>
    <w:rsid w:val="00E52438"/>
    <w:rsid w:val="00E5251B"/>
    <w:rsid w:val="00E52824"/>
    <w:rsid w:val="00E52BBE"/>
    <w:rsid w:val="00E532FA"/>
    <w:rsid w:val="00E53768"/>
    <w:rsid w:val="00E53845"/>
    <w:rsid w:val="00E53E61"/>
    <w:rsid w:val="00E54013"/>
    <w:rsid w:val="00E540FA"/>
    <w:rsid w:val="00E541D6"/>
    <w:rsid w:val="00E542AC"/>
    <w:rsid w:val="00E546C1"/>
    <w:rsid w:val="00E552D6"/>
    <w:rsid w:val="00E55396"/>
    <w:rsid w:val="00E55487"/>
    <w:rsid w:val="00E55608"/>
    <w:rsid w:val="00E55875"/>
    <w:rsid w:val="00E55A63"/>
    <w:rsid w:val="00E55DD4"/>
    <w:rsid w:val="00E560C9"/>
    <w:rsid w:val="00E562C3"/>
    <w:rsid w:val="00E562F8"/>
    <w:rsid w:val="00E564F0"/>
    <w:rsid w:val="00E56573"/>
    <w:rsid w:val="00E56A45"/>
    <w:rsid w:val="00E5705C"/>
    <w:rsid w:val="00E5751D"/>
    <w:rsid w:val="00E575C2"/>
    <w:rsid w:val="00E57601"/>
    <w:rsid w:val="00E57636"/>
    <w:rsid w:val="00E606F0"/>
    <w:rsid w:val="00E60B28"/>
    <w:rsid w:val="00E61012"/>
    <w:rsid w:val="00E61199"/>
    <w:rsid w:val="00E613ED"/>
    <w:rsid w:val="00E6175B"/>
    <w:rsid w:val="00E61F89"/>
    <w:rsid w:val="00E625C6"/>
    <w:rsid w:val="00E62839"/>
    <w:rsid w:val="00E62B27"/>
    <w:rsid w:val="00E62DD6"/>
    <w:rsid w:val="00E62F4E"/>
    <w:rsid w:val="00E63953"/>
    <w:rsid w:val="00E63AD3"/>
    <w:rsid w:val="00E63C42"/>
    <w:rsid w:val="00E63C9B"/>
    <w:rsid w:val="00E640D6"/>
    <w:rsid w:val="00E643FD"/>
    <w:rsid w:val="00E64445"/>
    <w:rsid w:val="00E65127"/>
    <w:rsid w:val="00E652F1"/>
    <w:rsid w:val="00E6576E"/>
    <w:rsid w:val="00E657E3"/>
    <w:rsid w:val="00E65860"/>
    <w:rsid w:val="00E659C6"/>
    <w:rsid w:val="00E659E1"/>
    <w:rsid w:val="00E660F7"/>
    <w:rsid w:val="00E66408"/>
    <w:rsid w:val="00E66780"/>
    <w:rsid w:val="00E668B3"/>
    <w:rsid w:val="00E66D92"/>
    <w:rsid w:val="00E66E8A"/>
    <w:rsid w:val="00E66F55"/>
    <w:rsid w:val="00E66FDB"/>
    <w:rsid w:val="00E6700E"/>
    <w:rsid w:val="00E677D5"/>
    <w:rsid w:val="00E67A5E"/>
    <w:rsid w:val="00E67E35"/>
    <w:rsid w:val="00E708BA"/>
    <w:rsid w:val="00E70A4C"/>
    <w:rsid w:val="00E70CE6"/>
    <w:rsid w:val="00E70D5A"/>
    <w:rsid w:val="00E70DBE"/>
    <w:rsid w:val="00E711D0"/>
    <w:rsid w:val="00E714D1"/>
    <w:rsid w:val="00E7225B"/>
    <w:rsid w:val="00E726EC"/>
    <w:rsid w:val="00E72794"/>
    <w:rsid w:val="00E72A78"/>
    <w:rsid w:val="00E72AD4"/>
    <w:rsid w:val="00E72BDC"/>
    <w:rsid w:val="00E72E1B"/>
    <w:rsid w:val="00E72EDF"/>
    <w:rsid w:val="00E731A6"/>
    <w:rsid w:val="00E7335E"/>
    <w:rsid w:val="00E733E8"/>
    <w:rsid w:val="00E73420"/>
    <w:rsid w:val="00E73553"/>
    <w:rsid w:val="00E7384B"/>
    <w:rsid w:val="00E7463E"/>
    <w:rsid w:val="00E75357"/>
    <w:rsid w:val="00E755C9"/>
    <w:rsid w:val="00E7564A"/>
    <w:rsid w:val="00E75C5B"/>
    <w:rsid w:val="00E760C8"/>
    <w:rsid w:val="00E7624F"/>
    <w:rsid w:val="00E76339"/>
    <w:rsid w:val="00E764FB"/>
    <w:rsid w:val="00E76A16"/>
    <w:rsid w:val="00E76EE5"/>
    <w:rsid w:val="00E772F1"/>
    <w:rsid w:val="00E7746C"/>
    <w:rsid w:val="00E77B00"/>
    <w:rsid w:val="00E77B64"/>
    <w:rsid w:val="00E804DC"/>
    <w:rsid w:val="00E809DB"/>
    <w:rsid w:val="00E80A3E"/>
    <w:rsid w:val="00E80B0D"/>
    <w:rsid w:val="00E80B88"/>
    <w:rsid w:val="00E80CD0"/>
    <w:rsid w:val="00E80FB5"/>
    <w:rsid w:val="00E81516"/>
    <w:rsid w:val="00E81C58"/>
    <w:rsid w:val="00E81D85"/>
    <w:rsid w:val="00E822AB"/>
    <w:rsid w:val="00E82902"/>
    <w:rsid w:val="00E82BC5"/>
    <w:rsid w:val="00E82BE3"/>
    <w:rsid w:val="00E82E21"/>
    <w:rsid w:val="00E82E28"/>
    <w:rsid w:val="00E82FD4"/>
    <w:rsid w:val="00E83E39"/>
    <w:rsid w:val="00E84321"/>
    <w:rsid w:val="00E844DE"/>
    <w:rsid w:val="00E846AF"/>
    <w:rsid w:val="00E8479C"/>
    <w:rsid w:val="00E84A06"/>
    <w:rsid w:val="00E84A72"/>
    <w:rsid w:val="00E84B64"/>
    <w:rsid w:val="00E852A6"/>
    <w:rsid w:val="00E85999"/>
    <w:rsid w:val="00E85CD5"/>
    <w:rsid w:val="00E85DAC"/>
    <w:rsid w:val="00E85FCC"/>
    <w:rsid w:val="00E8602E"/>
    <w:rsid w:val="00E866DF"/>
    <w:rsid w:val="00E86781"/>
    <w:rsid w:val="00E867EB"/>
    <w:rsid w:val="00E86873"/>
    <w:rsid w:val="00E86B0E"/>
    <w:rsid w:val="00E86BC2"/>
    <w:rsid w:val="00E86EB3"/>
    <w:rsid w:val="00E86FF1"/>
    <w:rsid w:val="00E878B4"/>
    <w:rsid w:val="00E87D59"/>
    <w:rsid w:val="00E87ECB"/>
    <w:rsid w:val="00E87F9D"/>
    <w:rsid w:val="00E901E9"/>
    <w:rsid w:val="00E909B2"/>
    <w:rsid w:val="00E90C33"/>
    <w:rsid w:val="00E90CF4"/>
    <w:rsid w:val="00E90D32"/>
    <w:rsid w:val="00E90ED8"/>
    <w:rsid w:val="00E90F6B"/>
    <w:rsid w:val="00E9117C"/>
    <w:rsid w:val="00E917F0"/>
    <w:rsid w:val="00E91FA6"/>
    <w:rsid w:val="00E91FE5"/>
    <w:rsid w:val="00E920D9"/>
    <w:rsid w:val="00E9215B"/>
    <w:rsid w:val="00E921F8"/>
    <w:rsid w:val="00E92790"/>
    <w:rsid w:val="00E931A4"/>
    <w:rsid w:val="00E93214"/>
    <w:rsid w:val="00E93355"/>
    <w:rsid w:val="00E9390E"/>
    <w:rsid w:val="00E93FB6"/>
    <w:rsid w:val="00E944AA"/>
    <w:rsid w:val="00E946E0"/>
    <w:rsid w:val="00E947C8"/>
    <w:rsid w:val="00E949D2"/>
    <w:rsid w:val="00E94A89"/>
    <w:rsid w:val="00E9503E"/>
    <w:rsid w:val="00E95046"/>
    <w:rsid w:val="00E955E3"/>
    <w:rsid w:val="00E956A1"/>
    <w:rsid w:val="00E9575C"/>
    <w:rsid w:val="00E9584D"/>
    <w:rsid w:val="00E95F19"/>
    <w:rsid w:val="00E9605D"/>
    <w:rsid w:val="00E96126"/>
    <w:rsid w:val="00E967B4"/>
    <w:rsid w:val="00E9680D"/>
    <w:rsid w:val="00E96C0B"/>
    <w:rsid w:val="00E96ED2"/>
    <w:rsid w:val="00E972DC"/>
    <w:rsid w:val="00E975EF"/>
    <w:rsid w:val="00E977D6"/>
    <w:rsid w:val="00E97E08"/>
    <w:rsid w:val="00E97EA0"/>
    <w:rsid w:val="00E97F6F"/>
    <w:rsid w:val="00EA0781"/>
    <w:rsid w:val="00EA0B50"/>
    <w:rsid w:val="00EA0B6F"/>
    <w:rsid w:val="00EA0F00"/>
    <w:rsid w:val="00EA1008"/>
    <w:rsid w:val="00EA1AB2"/>
    <w:rsid w:val="00EA1B47"/>
    <w:rsid w:val="00EA1B7C"/>
    <w:rsid w:val="00EA1C94"/>
    <w:rsid w:val="00EA1D87"/>
    <w:rsid w:val="00EA21CC"/>
    <w:rsid w:val="00EA2223"/>
    <w:rsid w:val="00EA24BA"/>
    <w:rsid w:val="00EA288D"/>
    <w:rsid w:val="00EA2BFB"/>
    <w:rsid w:val="00EA2FBD"/>
    <w:rsid w:val="00EA340C"/>
    <w:rsid w:val="00EA3786"/>
    <w:rsid w:val="00EA3AA1"/>
    <w:rsid w:val="00EA3BA1"/>
    <w:rsid w:val="00EA40A3"/>
    <w:rsid w:val="00EA446A"/>
    <w:rsid w:val="00EA47F5"/>
    <w:rsid w:val="00EA4821"/>
    <w:rsid w:val="00EA4B71"/>
    <w:rsid w:val="00EA4C12"/>
    <w:rsid w:val="00EA4F46"/>
    <w:rsid w:val="00EA52A1"/>
    <w:rsid w:val="00EA52AC"/>
    <w:rsid w:val="00EA552C"/>
    <w:rsid w:val="00EA59CD"/>
    <w:rsid w:val="00EA59E9"/>
    <w:rsid w:val="00EA5D39"/>
    <w:rsid w:val="00EA6640"/>
    <w:rsid w:val="00EA66EC"/>
    <w:rsid w:val="00EA6B57"/>
    <w:rsid w:val="00EA6DBF"/>
    <w:rsid w:val="00EA707F"/>
    <w:rsid w:val="00EA7116"/>
    <w:rsid w:val="00EA72E8"/>
    <w:rsid w:val="00EA78AD"/>
    <w:rsid w:val="00EB0566"/>
    <w:rsid w:val="00EB067D"/>
    <w:rsid w:val="00EB0717"/>
    <w:rsid w:val="00EB0944"/>
    <w:rsid w:val="00EB14BA"/>
    <w:rsid w:val="00EB19C6"/>
    <w:rsid w:val="00EB1D85"/>
    <w:rsid w:val="00EB227E"/>
    <w:rsid w:val="00EB24AB"/>
    <w:rsid w:val="00EB291C"/>
    <w:rsid w:val="00EB2CF1"/>
    <w:rsid w:val="00EB2F95"/>
    <w:rsid w:val="00EB32C9"/>
    <w:rsid w:val="00EB3950"/>
    <w:rsid w:val="00EB39EA"/>
    <w:rsid w:val="00EB3FD3"/>
    <w:rsid w:val="00EB4274"/>
    <w:rsid w:val="00EB4440"/>
    <w:rsid w:val="00EB46E8"/>
    <w:rsid w:val="00EB4C42"/>
    <w:rsid w:val="00EB5C86"/>
    <w:rsid w:val="00EB5E7A"/>
    <w:rsid w:val="00EB684E"/>
    <w:rsid w:val="00EB69A8"/>
    <w:rsid w:val="00EB6A2A"/>
    <w:rsid w:val="00EB6FAD"/>
    <w:rsid w:val="00EB70D2"/>
    <w:rsid w:val="00EB73F7"/>
    <w:rsid w:val="00EB778F"/>
    <w:rsid w:val="00EB780F"/>
    <w:rsid w:val="00EB7825"/>
    <w:rsid w:val="00EB7E0F"/>
    <w:rsid w:val="00EB7F5B"/>
    <w:rsid w:val="00EC031F"/>
    <w:rsid w:val="00EC03DD"/>
    <w:rsid w:val="00EC0567"/>
    <w:rsid w:val="00EC0702"/>
    <w:rsid w:val="00EC0F04"/>
    <w:rsid w:val="00EC1085"/>
    <w:rsid w:val="00EC1210"/>
    <w:rsid w:val="00EC124D"/>
    <w:rsid w:val="00EC1592"/>
    <w:rsid w:val="00EC1898"/>
    <w:rsid w:val="00EC1A79"/>
    <w:rsid w:val="00EC22B1"/>
    <w:rsid w:val="00EC22EA"/>
    <w:rsid w:val="00EC2529"/>
    <w:rsid w:val="00EC2701"/>
    <w:rsid w:val="00EC3033"/>
    <w:rsid w:val="00EC34E1"/>
    <w:rsid w:val="00EC3717"/>
    <w:rsid w:val="00EC3768"/>
    <w:rsid w:val="00EC3D9D"/>
    <w:rsid w:val="00EC415A"/>
    <w:rsid w:val="00EC4161"/>
    <w:rsid w:val="00EC4422"/>
    <w:rsid w:val="00EC4478"/>
    <w:rsid w:val="00EC4626"/>
    <w:rsid w:val="00EC4681"/>
    <w:rsid w:val="00EC470E"/>
    <w:rsid w:val="00EC4A90"/>
    <w:rsid w:val="00EC4BA7"/>
    <w:rsid w:val="00EC4C3F"/>
    <w:rsid w:val="00EC4C7D"/>
    <w:rsid w:val="00EC502A"/>
    <w:rsid w:val="00EC59F6"/>
    <w:rsid w:val="00EC5BDC"/>
    <w:rsid w:val="00EC5BE0"/>
    <w:rsid w:val="00EC5BE6"/>
    <w:rsid w:val="00EC5DC9"/>
    <w:rsid w:val="00EC6054"/>
    <w:rsid w:val="00EC6223"/>
    <w:rsid w:val="00EC62D9"/>
    <w:rsid w:val="00EC6388"/>
    <w:rsid w:val="00EC64AC"/>
    <w:rsid w:val="00EC65C9"/>
    <w:rsid w:val="00EC665E"/>
    <w:rsid w:val="00EC670F"/>
    <w:rsid w:val="00EC6A9B"/>
    <w:rsid w:val="00EC6BDF"/>
    <w:rsid w:val="00EC6CF0"/>
    <w:rsid w:val="00EC6DA7"/>
    <w:rsid w:val="00EC70C2"/>
    <w:rsid w:val="00EC74EC"/>
    <w:rsid w:val="00EC75AD"/>
    <w:rsid w:val="00EC7601"/>
    <w:rsid w:val="00EC7D8F"/>
    <w:rsid w:val="00EC7EC3"/>
    <w:rsid w:val="00EC7F55"/>
    <w:rsid w:val="00ED0228"/>
    <w:rsid w:val="00ED0C0D"/>
    <w:rsid w:val="00ED0EA6"/>
    <w:rsid w:val="00ED132D"/>
    <w:rsid w:val="00ED133A"/>
    <w:rsid w:val="00ED16D2"/>
    <w:rsid w:val="00ED176E"/>
    <w:rsid w:val="00ED1E55"/>
    <w:rsid w:val="00ED1F6F"/>
    <w:rsid w:val="00ED227D"/>
    <w:rsid w:val="00ED2314"/>
    <w:rsid w:val="00ED24EC"/>
    <w:rsid w:val="00ED2880"/>
    <w:rsid w:val="00ED29D8"/>
    <w:rsid w:val="00ED2CE8"/>
    <w:rsid w:val="00ED35A9"/>
    <w:rsid w:val="00ED35C5"/>
    <w:rsid w:val="00ED3751"/>
    <w:rsid w:val="00ED3A12"/>
    <w:rsid w:val="00ED3A67"/>
    <w:rsid w:val="00ED3F73"/>
    <w:rsid w:val="00ED4110"/>
    <w:rsid w:val="00ED4197"/>
    <w:rsid w:val="00ED45F8"/>
    <w:rsid w:val="00ED4D83"/>
    <w:rsid w:val="00ED5319"/>
    <w:rsid w:val="00ED53F0"/>
    <w:rsid w:val="00ED5536"/>
    <w:rsid w:val="00ED562E"/>
    <w:rsid w:val="00ED604B"/>
    <w:rsid w:val="00ED61D2"/>
    <w:rsid w:val="00ED6BBD"/>
    <w:rsid w:val="00ED70F8"/>
    <w:rsid w:val="00ED7114"/>
    <w:rsid w:val="00ED7D03"/>
    <w:rsid w:val="00ED7EFC"/>
    <w:rsid w:val="00ED7F00"/>
    <w:rsid w:val="00ED7FEF"/>
    <w:rsid w:val="00EE002F"/>
    <w:rsid w:val="00EE0301"/>
    <w:rsid w:val="00EE038A"/>
    <w:rsid w:val="00EE0465"/>
    <w:rsid w:val="00EE053C"/>
    <w:rsid w:val="00EE0567"/>
    <w:rsid w:val="00EE06A1"/>
    <w:rsid w:val="00EE0808"/>
    <w:rsid w:val="00EE0A90"/>
    <w:rsid w:val="00EE0D0A"/>
    <w:rsid w:val="00EE106A"/>
    <w:rsid w:val="00EE1330"/>
    <w:rsid w:val="00EE15C2"/>
    <w:rsid w:val="00EE1617"/>
    <w:rsid w:val="00EE2009"/>
    <w:rsid w:val="00EE2012"/>
    <w:rsid w:val="00EE24FB"/>
    <w:rsid w:val="00EE2A01"/>
    <w:rsid w:val="00EE2D52"/>
    <w:rsid w:val="00EE307E"/>
    <w:rsid w:val="00EE328A"/>
    <w:rsid w:val="00EE367E"/>
    <w:rsid w:val="00EE3897"/>
    <w:rsid w:val="00EE3A93"/>
    <w:rsid w:val="00EE3D41"/>
    <w:rsid w:val="00EE4163"/>
    <w:rsid w:val="00EE452C"/>
    <w:rsid w:val="00EE45AE"/>
    <w:rsid w:val="00EE4DF5"/>
    <w:rsid w:val="00EE4E58"/>
    <w:rsid w:val="00EE4FC4"/>
    <w:rsid w:val="00EE5110"/>
    <w:rsid w:val="00EE5911"/>
    <w:rsid w:val="00EE5995"/>
    <w:rsid w:val="00EE5BBB"/>
    <w:rsid w:val="00EE5F78"/>
    <w:rsid w:val="00EE613C"/>
    <w:rsid w:val="00EE6285"/>
    <w:rsid w:val="00EE62BB"/>
    <w:rsid w:val="00EE63D6"/>
    <w:rsid w:val="00EE65F4"/>
    <w:rsid w:val="00EE67C5"/>
    <w:rsid w:val="00EE69BF"/>
    <w:rsid w:val="00EE6A44"/>
    <w:rsid w:val="00EE6C05"/>
    <w:rsid w:val="00EE6FF3"/>
    <w:rsid w:val="00EE723B"/>
    <w:rsid w:val="00EE7F39"/>
    <w:rsid w:val="00EF00CE"/>
    <w:rsid w:val="00EF02E0"/>
    <w:rsid w:val="00EF04BF"/>
    <w:rsid w:val="00EF0754"/>
    <w:rsid w:val="00EF0BD3"/>
    <w:rsid w:val="00EF0EC1"/>
    <w:rsid w:val="00EF132D"/>
    <w:rsid w:val="00EF150A"/>
    <w:rsid w:val="00EF1784"/>
    <w:rsid w:val="00EF1BB3"/>
    <w:rsid w:val="00EF1FDF"/>
    <w:rsid w:val="00EF201A"/>
    <w:rsid w:val="00EF24B9"/>
    <w:rsid w:val="00EF25C0"/>
    <w:rsid w:val="00EF2B10"/>
    <w:rsid w:val="00EF2DDF"/>
    <w:rsid w:val="00EF3305"/>
    <w:rsid w:val="00EF37D9"/>
    <w:rsid w:val="00EF3912"/>
    <w:rsid w:val="00EF3922"/>
    <w:rsid w:val="00EF3BF3"/>
    <w:rsid w:val="00EF3D24"/>
    <w:rsid w:val="00EF3ED4"/>
    <w:rsid w:val="00EF4334"/>
    <w:rsid w:val="00EF535A"/>
    <w:rsid w:val="00EF5461"/>
    <w:rsid w:val="00EF5956"/>
    <w:rsid w:val="00EF59F9"/>
    <w:rsid w:val="00EF5BFC"/>
    <w:rsid w:val="00EF5C13"/>
    <w:rsid w:val="00EF5D2E"/>
    <w:rsid w:val="00EF5EAF"/>
    <w:rsid w:val="00EF6287"/>
    <w:rsid w:val="00EF62C4"/>
    <w:rsid w:val="00EF65A7"/>
    <w:rsid w:val="00EF6629"/>
    <w:rsid w:val="00EF66FE"/>
    <w:rsid w:val="00EF6DA6"/>
    <w:rsid w:val="00EF6E25"/>
    <w:rsid w:val="00EF6E87"/>
    <w:rsid w:val="00EF7011"/>
    <w:rsid w:val="00EF71FE"/>
    <w:rsid w:val="00EF7243"/>
    <w:rsid w:val="00EF768F"/>
    <w:rsid w:val="00EF77FE"/>
    <w:rsid w:val="00EF7BCE"/>
    <w:rsid w:val="00EF7D81"/>
    <w:rsid w:val="00EF7EC3"/>
    <w:rsid w:val="00EF7EDD"/>
    <w:rsid w:val="00F0008A"/>
    <w:rsid w:val="00F00325"/>
    <w:rsid w:val="00F005B9"/>
    <w:rsid w:val="00F0092B"/>
    <w:rsid w:val="00F009F3"/>
    <w:rsid w:val="00F00E03"/>
    <w:rsid w:val="00F010F3"/>
    <w:rsid w:val="00F0113C"/>
    <w:rsid w:val="00F01186"/>
    <w:rsid w:val="00F0127E"/>
    <w:rsid w:val="00F0187D"/>
    <w:rsid w:val="00F01AA2"/>
    <w:rsid w:val="00F01B42"/>
    <w:rsid w:val="00F01C5F"/>
    <w:rsid w:val="00F01E7C"/>
    <w:rsid w:val="00F020ED"/>
    <w:rsid w:val="00F0222C"/>
    <w:rsid w:val="00F02478"/>
    <w:rsid w:val="00F02667"/>
    <w:rsid w:val="00F02A34"/>
    <w:rsid w:val="00F032F6"/>
    <w:rsid w:val="00F0399B"/>
    <w:rsid w:val="00F03C37"/>
    <w:rsid w:val="00F041A3"/>
    <w:rsid w:val="00F046C4"/>
    <w:rsid w:val="00F04D96"/>
    <w:rsid w:val="00F058D9"/>
    <w:rsid w:val="00F05ECF"/>
    <w:rsid w:val="00F06665"/>
    <w:rsid w:val="00F0698F"/>
    <w:rsid w:val="00F06E62"/>
    <w:rsid w:val="00F070E5"/>
    <w:rsid w:val="00F07141"/>
    <w:rsid w:val="00F071E2"/>
    <w:rsid w:val="00F072BE"/>
    <w:rsid w:val="00F072E4"/>
    <w:rsid w:val="00F073CC"/>
    <w:rsid w:val="00F073DE"/>
    <w:rsid w:val="00F07442"/>
    <w:rsid w:val="00F079D5"/>
    <w:rsid w:val="00F105DE"/>
    <w:rsid w:val="00F10686"/>
    <w:rsid w:val="00F10874"/>
    <w:rsid w:val="00F108B4"/>
    <w:rsid w:val="00F10CBF"/>
    <w:rsid w:val="00F11176"/>
    <w:rsid w:val="00F111A7"/>
    <w:rsid w:val="00F1141A"/>
    <w:rsid w:val="00F115B8"/>
    <w:rsid w:val="00F11950"/>
    <w:rsid w:val="00F11AB7"/>
    <w:rsid w:val="00F11E24"/>
    <w:rsid w:val="00F11E77"/>
    <w:rsid w:val="00F11F82"/>
    <w:rsid w:val="00F121BF"/>
    <w:rsid w:val="00F1245D"/>
    <w:rsid w:val="00F129BD"/>
    <w:rsid w:val="00F12A87"/>
    <w:rsid w:val="00F12B22"/>
    <w:rsid w:val="00F12ECC"/>
    <w:rsid w:val="00F13143"/>
    <w:rsid w:val="00F13293"/>
    <w:rsid w:val="00F13851"/>
    <w:rsid w:val="00F13AB3"/>
    <w:rsid w:val="00F13EF9"/>
    <w:rsid w:val="00F14217"/>
    <w:rsid w:val="00F14535"/>
    <w:rsid w:val="00F146EF"/>
    <w:rsid w:val="00F148BF"/>
    <w:rsid w:val="00F14EED"/>
    <w:rsid w:val="00F154DF"/>
    <w:rsid w:val="00F154F0"/>
    <w:rsid w:val="00F15623"/>
    <w:rsid w:val="00F15A21"/>
    <w:rsid w:val="00F15A89"/>
    <w:rsid w:val="00F15D8B"/>
    <w:rsid w:val="00F16447"/>
    <w:rsid w:val="00F16A88"/>
    <w:rsid w:val="00F16BAC"/>
    <w:rsid w:val="00F16CED"/>
    <w:rsid w:val="00F17272"/>
    <w:rsid w:val="00F17581"/>
    <w:rsid w:val="00F17807"/>
    <w:rsid w:val="00F178EF"/>
    <w:rsid w:val="00F17AD9"/>
    <w:rsid w:val="00F17D17"/>
    <w:rsid w:val="00F17DE7"/>
    <w:rsid w:val="00F2006A"/>
    <w:rsid w:val="00F200BE"/>
    <w:rsid w:val="00F20347"/>
    <w:rsid w:val="00F20650"/>
    <w:rsid w:val="00F20834"/>
    <w:rsid w:val="00F21432"/>
    <w:rsid w:val="00F214FA"/>
    <w:rsid w:val="00F21589"/>
    <w:rsid w:val="00F21963"/>
    <w:rsid w:val="00F21D31"/>
    <w:rsid w:val="00F21D51"/>
    <w:rsid w:val="00F22149"/>
    <w:rsid w:val="00F222A3"/>
    <w:rsid w:val="00F2307D"/>
    <w:rsid w:val="00F230AD"/>
    <w:rsid w:val="00F23307"/>
    <w:rsid w:val="00F233CA"/>
    <w:rsid w:val="00F237F8"/>
    <w:rsid w:val="00F23D69"/>
    <w:rsid w:val="00F23E76"/>
    <w:rsid w:val="00F23F26"/>
    <w:rsid w:val="00F2407A"/>
    <w:rsid w:val="00F24361"/>
    <w:rsid w:val="00F248AC"/>
    <w:rsid w:val="00F24990"/>
    <w:rsid w:val="00F24D74"/>
    <w:rsid w:val="00F24DA9"/>
    <w:rsid w:val="00F250B6"/>
    <w:rsid w:val="00F25265"/>
    <w:rsid w:val="00F2527D"/>
    <w:rsid w:val="00F252BD"/>
    <w:rsid w:val="00F2576A"/>
    <w:rsid w:val="00F2653E"/>
    <w:rsid w:val="00F26B50"/>
    <w:rsid w:val="00F26D04"/>
    <w:rsid w:val="00F26D37"/>
    <w:rsid w:val="00F26F05"/>
    <w:rsid w:val="00F2721C"/>
    <w:rsid w:val="00F273D2"/>
    <w:rsid w:val="00F27450"/>
    <w:rsid w:val="00F2753C"/>
    <w:rsid w:val="00F2757C"/>
    <w:rsid w:val="00F27747"/>
    <w:rsid w:val="00F27932"/>
    <w:rsid w:val="00F27A2B"/>
    <w:rsid w:val="00F27CBF"/>
    <w:rsid w:val="00F30663"/>
    <w:rsid w:val="00F30710"/>
    <w:rsid w:val="00F30FE4"/>
    <w:rsid w:val="00F31532"/>
    <w:rsid w:val="00F318EF"/>
    <w:rsid w:val="00F31A8A"/>
    <w:rsid w:val="00F31ABB"/>
    <w:rsid w:val="00F31C72"/>
    <w:rsid w:val="00F31D99"/>
    <w:rsid w:val="00F32423"/>
    <w:rsid w:val="00F32B59"/>
    <w:rsid w:val="00F3365D"/>
    <w:rsid w:val="00F336EF"/>
    <w:rsid w:val="00F339F7"/>
    <w:rsid w:val="00F33B20"/>
    <w:rsid w:val="00F3423B"/>
    <w:rsid w:val="00F34372"/>
    <w:rsid w:val="00F349AC"/>
    <w:rsid w:val="00F34A22"/>
    <w:rsid w:val="00F34B48"/>
    <w:rsid w:val="00F34C67"/>
    <w:rsid w:val="00F34D09"/>
    <w:rsid w:val="00F35247"/>
    <w:rsid w:val="00F35537"/>
    <w:rsid w:val="00F357E9"/>
    <w:rsid w:val="00F35B4C"/>
    <w:rsid w:val="00F35DCA"/>
    <w:rsid w:val="00F3601D"/>
    <w:rsid w:val="00F36394"/>
    <w:rsid w:val="00F364BC"/>
    <w:rsid w:val="00F370A7"/>
    <w:rsid w:val="00F370F6"/>
    <w:rsid w:val="00F3750F"/>
    <w:rsid w:val="00F377B4"/>
    <w:rsid w:val="00F377B5"/>
    <w:rsid w:val="00F37E93"/>
    <w:rsid w:val="00F40224"/>
    <w:rsid w:val="00F40294"/>
    <w:rsid w:val="00F40D98"/>
    <w:rsid w:val="00F41383"/>
    <w:rsid w:val="00F415D9"/>
    <w:rsid w:val="00F41B7B"/>
    <w:rsid w:val="00F41BF8"/>
    <w:rsid w:val="00F42401"/>
    <w:rsid w:val="00F42645"/>
    <w:rsid w:val="00F4286B"/>
    <w:rsid w:val="00F42884"/>
    <w:rsid w:val="00F42E2D"/>
    <w:rsid w:val="00F42F77"/>
    <w:rsid w:val="00F430FC"/>
    <w:rsid w:val="00F433FF"/>
    <w:rsid w:val="00F43420"/>
    <w:rsid w:val="00F43460"/>
    <w:rsid w:val="00F4369A"/>
    <w:rsid w:val="00F43723"/>
    <w:rsid w:val="00F4376E"/>
    <w:rsid w:val="00F43D42"/>
    <w:rsid w:val="00F43D7E"/>
    <w:rsid w:val="00F44082"/>
    <w:rsid w:val="00F4481D"/>
    <w:rsid w:val="00F448E1"/>
    <w:rsid w:val="00F44C72"/>
    <w:rsid w:val="00F44CA0"/>
    <w:rsid w:val="00F454D0"/>
    <w:rsid w:val="00F4578B"/>
    <w:rsid w:val="00F45A27"/>
    <w:rsid w:val="00F45BCC"/>
    <w:rsid w:val="00F45F6F"/>
    <w:rsid w:val="00F45F9F"/>
    <w:rsid w:val="00F46206"/>
    <w:rsid w:val="00F4633D"/>
    <w:rsid w:val="00F468EC"/>
    <w:rsid w:val="00F46926"/>
    <w:rsid w:val="00F470EE"/>
    <w:rsid w:val="00F47887"/>
    <w:rsid w:val="00F478D8"/>
    <w:rsid w:val="00F47ABA"/>
    <w:rsid w:val="00F47B44"/>
    <w:rsid w:val="00F50069"/>
    <w:rsid w:val="00F50B4E"/>
    <w:rsid w:val="00F50C84"/>
    <w:rsid w:val="00F50FB5"/>
    <w:rsid w:val="00F5130F"/>
    <w:rsid w:val="00F514EA"/>
    <w:rsid w:val="00F5159B"/>
    <w:rsid w:val="00F517F0"/>
    <w:rsid w:val="00F51ED6"/>
    <w:rsid w:val="00F51F48"/>
    <w:rsid w:val="00F51F66"/>
    <w:rsid w:val="00F52784"/>
    <w:rsid w:val="00F52806"/>
    <w:rsid w:val="00F528A6"/>
    <w:rsid w:val="00F529D4"/>
    <w:rsid w:val="00F52CAD"/>
    <w:rsid w:val="00F52D6D"/>
    <w:rsid w:val="00F52E99"/>
    <w:rsid w:val="00F52EE4"/>
    <w:rsid w:val="00F53433"/>
    <w:rsid w:val="00F53837"/>
    <w:rsid w:val="00F538A1"/>
    <w:rsid w:val="00F539A6"/>
    <w:rsid w:val="00F53D09"/>
    <w:rsid w:val="00F53DA9"/>
    <w:rsid w:val="00F53E77"/>
    <w:rsid w:val="00F5402A"/>
    <w:rsid w:val="00F548F3"/>
    <w:rsid w:val="00F54BEC"/>
    <w:rsid w:val="00F55AB0"/>
    <w:rsid w:val="00F56045"/>
    <w:rsid w:val="00F56DDA"/>
    <w:rsid w:val="00F600B6"/>
    <w:rsid w:val="00F601CE"/>
    <w:rsid w:val="00F606D7"/>
    <w:rsid w:val="00F60963"/>
    <w:rsid w:val="00F60C77"/>
    <w:rsid w:val="00F60CA5"/>
    <w:rsid w:val="00F60D0D"/>
    <w:rsid w:val="00F61149"/>
    <w:rsid w:val="00F61993"/>
    <w:rsid w:val="00F61AF7"/>
    <w:rsid w:val="00F61DCD"/>
    <w:rsid w:val="00F61E1D"/>
    <w:rsid w:val="00F61E78"/>
    <w:rsid w:val="00F61E9D"/>
    <w:rsid w:val="00F62694"/>
    <w:rsid w:val="00F62D61"/>
    <w:rsid w:val="00F62E1C"/>
    <w:rsid w:val="00F62ED4"/>
    <w:rsid w:val="00F62F69"/>
    <w:rsid w:val="00F63687"/>
    <w:rsid w:val="00F63785"/>
    <w:rsid w:val="00F645D2"/>
    <w:rsid w:val="00F64877"/>
    <w:rsid w:val="00F64A92"/>
    <w:rsid w:val="00F65046"/>
    <w:rsid w:val="00F6507A"/>
    <w:rsid w:val="00F65089"/>
    <w:rsid w:val="00F65153"/>
    <w:rsid w:val="00F65499"/>
    <w:rsid w:val="00F654C5"/>
    <w:rsid w:val="00F6556C"/>
    <w:rsid w:val="00F65677"/>
    <w:rsid w:val="00F65BD8"/>
    <w:rsid w:val="00F65D4D"/>
    <w:rsid w:val="00F65D81"/>
    <w:rsid w:val="00F65DF9"/>
    <w:rsid w:val="00F66347"/>
    <w:rsid w:val="00F66957"/>
    <w:rsid w:val="00F66F5A"/>
    <w:rsid w:val="00F671E9"/>
    <w:rsid w:val="00F67905"/>
    <w:rsid w:val="00F67FF5"/>
    <w:rsid w:val="00F701F8"/>
    <w:rsid w:val="00F703C1"/>
    <w:rsid w:val="00F70459"/>
    <w:rsid w:val="00F714A5"/>
    <w:rsid w:val="00F71AA0"/>
    <w:rsid w:val="00F71B53"/>
    <w:rsid w:val="00F72233"/>
    <w:rsid w:val="00F722AA"/>
    <w:rsid w:val="00F72380"/>
    <w:rsid w:val="00F725B5"/>
    <w:rsid w:val="00F72921"/>
    <w:rsid w:val="00F72B88"/>
    <w:rsid w:val="00F73119"/>
    <w:rsid w:val="00F73248"/>
    <w:rsid w:val="00F732F5"/>
    <w:rsid w:val="00F7369D"/>
    <w:rsid w:val="00F7379C"/>
    <w:rsid w:val="00F73851"/>
    <w:rsid w:val="00F738FC"/>
    <w:rsid w:val="00F73A12"/>
    <w:rsid w:val="00F74439"/>
    <w:rsid w:val="00F745A1"/>
    <w:rsid w:val="00F747D5"/>
    <w:rsid w:val="00F74841"/>
    <w:rsid w:val="00F74986"/>
    <w:rsid w:val="00F749E7"/>
    <w:rsid w:val="00F74BC5"/>
    <w:rsid w:val="00F750A6"/>
    <w:rsid w:val="00F757DC"/>
    <w:rsid w:val="00F75EB2"/>
    <w:rsid w:val="00F76210"/>
    <w:rsid w:val="00F765B4"/>
    <w:rsid w:val="00F767D0"/>
    <w:rsid w:val="00F76EB1"/>
    <w:rsid w:val="00F76EEA"/>
    <w:rsid w:val="00F7711F"/>
    <w:rsid w:val="00F77171"/>
    <w:rsid w:val="00F77B54"/>
    <w:rsid w:val="00F77EE5"/>
    <w:rsid w:val="00F80110"/>
    <w:rsid w:val="00F80368"/>
    <w:rsid w:val="00F80405"/>
    <w:rsid w:val="00F806CF"/>
    <w:rsid w:val="00F80C74"/>
    <w:rsid w:val="00F80D76"/>
    <w:rsid w:val="00F80E6E"/>
    <w:rsid w:val="00F8107F"/>
    <w:rsid w:val="00F8124F"/>
    <w:rsid w:val="00F8158A"/>
    <w:rsid w:val="00F81878"/>
    <w:rsid w:val="00F818DB"/>
    <w:rsid w:val="00F82055"/>
    <w:rsid w:val="00F8265D"/>
    <w:rsid w:val="00F82802"/>
    <w:rsid w:val="00F82AE7"/>
    <w:rsid w:val="00F82E13"/>
    <w:rsid w:val="00F83611"/>
    <w:rsid w:val="00F83895"/>
    <w:rsid w:val="00F839C1"/>
    <w:rsid w:val="00F83B7D"/>
    <w:rsid w:val="00F840AE"/>
    <w:rsid w:val="00F842F5"/>
    <w:rsid w:val="00F84337"/>
    <w:rsid w:val="00F84464"/>
    <w:rsid w:val="00F84536"/>
    <w:rsid w:val="00F8472A"/>
    <w:rsid w:val="00F8474A"/>
    <w:rsid w:val="00F848C0"/>
    <w:rsid w:val="00F85304"/>
    <w:rsid w:val="00F85483"/>
    <w:rsid w:val="00F85BAF"/>
    <w:rsid w:val="00F85CB7"/>
    <w:rsid w:val="00F862FE"/>
    <w:rsid w:val="00F86377"/>
    <w:rsid w:val="00F86773"/>
    <w:rsid w:val="00F86A7C"/>
    <w:rsid w:val="00F86CC9"/>
    <w:rsid w:val="00F86E35"/>
    <w:rsid w:val="00F87460"/>
    <w:rsid w:val="00F876C9"/>
    <w:rsid w:val="00F87737"/>
    <w:rsid w:val="00F878D7"/>
    <w:rsid w:val="00F87938"/>
    <w:rsid w:val="00F87A4F"/>
    <w:rsid w:val="00F87EA1"/>
    <w:rsid w:val="00F9037D"/>
    <w:rsid w:val="00F90480"/>
    <w:rsid w:val="00F9064F"/>
    <w:rsid w:val="00F90860"/>
    <w:rsid w:val="00F90D26"/>
    <w:rsid w:val="00F90E21"/>
    <w:rsid w:val="00F90EE5"/>
    <w:rsid w:val="00F91017"/>
    <w:rsid w:val="00F9101B"/>
    <w:rsid w:val="00F91205"/>
    <w:rsid w:val="00F912E4"/>
    <w:rsid w:val="00F91344"/>
    <w:rsid w:val="00F914B3"/>
    <w:rsid w:val="00F917F8"/>
    <w:rsid w:val="00F91852"/>
    <w:rsid w:val="00F919A2"/>
    <w:rsid w:val="00F91D5E"/>
    <w:rsid w:val="00F92237"/>
    <w:rsid w:val="00F923C2"/>
    <w:rsid w:val="00F92901"/>
    <w:rsid w:val="00F92995"/>
    <w:rsid w:val="00F92E14"/>
    <w:rsid w:val="00F92E66"/>
    <w:rsid w:val="00F93668"/>
    <w:rsid w:val="00F939BF"/>
    <w:rsid w:val="00F93C0F"/>
    <w:rsid w:val="00F93E5E"/>
    <w:rsid w:val="00F93FBE"/>
    <w:rsid w:val="00F93FF0"/>
    <w:rsid w:val="00F941E5"/>
    <w:rsid w:val="00F9454E"/>
    <w:rsid w:val="00F947B2"/>
    <w:rsid w:val="00F94A47"/>
    <w:rsid w:val="00F94C62"/>
    <w:rsid w:val="00F94C6D"/>
    <w:rsid w:val="00F94D28"/>
    <w:rsid w:val="00F94E30"/>
    <w:rsid w:val="00F95300"/>
    <w:rsid w:val="00F953A3"/>
    <w:rsid w:val="00F95843"/>
    <w:rsid w:val="00F95927"/>
    <w:rsid w:val="00F95E23"/>
    <w:rsid w:val="00F95E75"/>
    <w:rsid w:val="00F9634B"/>
    <w:rsid w:val="00F96925"/>
    <w:rsid w:val="00F97424"/>
    <w:rsid w:val="00F97429"/>
    <w:rsid w:val="00F97872"/>
    <w:rsid w:val="00F978D9"/>
    <w:rsid w:val="00FA0128"/>
    <w:rsid w:val="00FA02C3"/>
    <w:rsid w:val="00FA0758"/>
    <w:rsid w:val="00FA07E7"/>
    <w:rsid w:val="00FA0983"/>
    <w:rsid w:val="00FA0F1D"/>
    <w:rsid w:val="00FA1039"/>
    <w:rsid w:val="00FA12F6"/>
    <w:rsid w:val="00FA26D8"/>
    <w:rsid w:val="00FA2E99"/>
    <w:rsid w:val="00FA30BE"/>
    <w:rsid w:val="00FA345A"/>
    <w:rsid w:val="00FA3596"/>
    <w:rsid w:val="00FA3859"/>
    <w:rsid w:val="00FA3A93"/>
    <w:rsid w:val="00FA3CCE"/>
    <w:rsid w:val="00FA3D33"/>
    <w:rsid w:val="00FA4158"/>
    <w:rsid w:val="00FA4241"/>
    <w:rsid w:val="00FA42E8"/>
    <w:rsid w:val="00FA46FD"/>
    <w:rsid w:val="00FA4ACD"/>
    <w:rsid w:val="00FA519A"/>
    <w:rsid w:val="00FA53EC"/>
    <w:rsid w:val="00FA5606"/>
    <w:rsid w:val="00FA5851"/>
    <w:rsid w:val="00FA60FB"/>
    <w:rsid w:val="00FA6166"/>
    <w:rsid w:val="00FA6237"/>
    <w:rsid w:val="00FA6D65"/>
    <w:rsid w:val="00FA6D78"/>
    <w:rsid w:val="00FA7310"/>
    <w:rsid w:val="00FA733B"/>
    <w:rsid w:val="00FA769E"/>
    <w:rsid w:val="00FA77C9"/>
    <w:rsid w:val="00FA7B99"/>
    <w:rsid w:val="00FA7C56"/>
    <w:rsid w:val="00FA7FC0"/>
    <w:rsid w:val="00FB0195"/>
    <w:rsid w:val="00FB0249"/>
    <w:rsid w:val="00FB0333"/>
    <w:rsid w:val="00FB036F"/>
    <w:rsid w:val="00FB0C5D"/>
    <w:rsid w:val="00FB0E0D"/>
    <w:rsid w:val="00FB11C5"/>
    <w:rsid w:val="00FB1231"/>
    <w:rsid w:val="00FB14F4"/>
    <w:rsid w:val="00FB1716"/>
    <w:rsid w:val="00FB1BA6"/>
    <w:rsid w:val="00FB1E8F"/>
    <w:rsid w:val="00FB2178"/>
    <w:rsid w:val="00FB21BB"/>
    <w:rsid w:val="00FB21C7"/>
    <w:rsid w:val="00FB24F0"/>
    <w:rsid w:val="00FB3154"/>
    <w:rsid w:val="00FB31C7"/>
    <w:rsid w:val="00FB3826"/>
    <w:rsid w:val="00FB3891"/>
    <w:rsid w:val="00FB4146"/>
    <w:rsid w:val="00FB41DE"/>
    <w:rsid w:val="00FB4311"/>
    <w:rsid w:val="00FB4671"/>
    <w:rsid w:val="00FB4A14"/>
    <w:rsid w:val="00FB5230"/>
    <w:rsid w:val="00FB552C"/>
    <w:rsid w:val="00FB5686"/>
    <w:rsid w:val="00FB5829"/>
    <w:rsid w:val="00FB58BC"/>
    <w:rsid w:val="00FB5B05"/>
    <w:rsid w:val="00FB5D87"/>
    <w:rsid w:val="00FB5DFA"/>
    <w:rsid w:val="00FB625B"/>
    <w:rsid w:val="00FB62A1"/>
    <w:rsid w:val="00FB672B"/>
    <w:rsid w:val="00FB682D"/>
    <w:rsid w:val="00FB6863"/>
    <w:rsid w:val="00FB73B4"/>
    <w:rsid w:val="00FB7478"/>
    <w:rsid w:val="00FB75A9"/>
    <w:rsid w:val="00FB787F"/>
    <w:rsid w:val="00FC0097"/>
    <w:rsid w:val="00FC0402"/>
    <w:rsid w:val="00FC058B"/>
    <w:rsid w:val="00FC071A"/>
    <w:rsid w:val="00FC0818"/>
    <w:rsid w:val="00FC0882"/>
    <w:rsid w:val="00FC08F3"/>
    <w:rsid w:val="00FC0912"/>
    <w:rsid w:val="00FC0A36"/>
    <w:rsid w:val="00FC0D98"/>
    <w:rsid w:val="00FC0DB0"/>
    <w:rsid w:val="00FC0E24"/>
    <w:rsid w:val="00FC1A6F"/>
    <w:rsid w:val="00FC1B50"/>
    <w:rsid w:val="00FC1C02"/>
    <w:rsid w:val="00FC1C1A"/>
    <w:rsid w:val="00FC2256"/>
    <w:rsid w:val="00FC23DE"/>
    <w:rsid w:val="00FC252C"/>
    <w:rsid w:val="00FC2764"/>
    <w:rsid w:val="00FC2808"/>
    <w:rsid w:val="00FC2DED"/>
    <w:rsid w:val="00FC320D"/>
    <w:rsid w:val="00FC3B4C"/>
    <w:rsid w:val="00FC3C7E"/>
    <w:rsid w:val="00FC3C80"/>
    <w:rsid w:val="00FC435D"/>
    <w:rsid w:val="00FC43ED"/>
    <w:rsid w:val="00FC4B53"/>
    <w:rsid w:val="00FC4CEC"/>
    <w:rsid w:val="00FC54D6"/>
    <w:rsid w:val="00FC575A"/>
    <w:rsid w:val="00FC5B6D"/>
    <w:rsid w:val="00FC5D36"/>
    <w:rsid w:val="00FC5DF5"/>
    <w:rsid w:val="00FC627C"/>
    <w:rsid w:val="00FC62FD"/>
    <w:rsid w:val="00FC674A"/>
    <w:rsid w:val="00FC67BE"/>
    <w:rsid w:val="00FC68B9"/>
    <w:rsid w:val="00FC6BDD"/>
    <w:rsid w:val="00FC6C69"/>
    <w:rsid w:val="00FC6EAA"/>
    <w:rsid w:val="00FC71AF"/>
    <w:rsid w:val="00FC72AB"/>
    <w:rsid w:val="00FC7684"/>
    <w:rsid w:val="00FC770F"/>
    <w:rsid w:val="00FC7B1C"/>
    <w:rsid w:val="00FC7ED6"/>
    <w:rsid w:val="00FD0210"/>
    <w:rsid w:val="00FD04F7"/>
    <w:rsid w:val="00FD0934"/>
    <w:rsid w:val="00FD09DE"/>
    <w:rsid w:val="00FD0C84"/>
    <w:rsid w:val="00FD0D78"/>
    <w:rsid w:val="00FD0F58"/>
    <w:rsid w:val="00FD12B2"/>
    <w:rsid w:val="00FD1A19"/>
    <w:rsid w:val="00FD213C"/>
    <w:rsid w:val="00FD2500"/>
    <w:rsid w:val="00FD28A9"/>
    <w:rsid w:val="00FD2B47"/>
    <w:rsid w:val="00FD30F2"/>
    <w:rsid w:val="00FD3339"/>
    <w:rsid w:val="00FD334F"/>
    <w:rsid w:val="00FD3372"/>
    <w:rsid w:val="00FD345B"/>
    <w:rsid w:val="00FD35F9"/>
    <w:rsid w:val="00FD3627"/>
    <w:rsid w:val="00FD3D6F"/>
    <w:rsid w:val="00FD4635"/>
    <w:rsid w:val="00FD472F"/>
    <w:rsid w:val="00FD4F77"/>
    <w:rsid w:val="00FD52A2"/>
    <w:rsid w:val="00FD5756"/>
    <w:rsid w:val="00FD5A04"/>
    <w:rsid w:val="00FD601F"/>
    <w:rsid w:val="00FD641D"/>
    <w:rsid w:val="00FD669F"/>
    <w:rsid w:val="00FD6737"/>
    <w:rsid w:val="00FD6CB4"/>
    <w:rsid w:val="00FD727A"/>
    <w:rsid w:val="00FD72D0"/>
    <w:rsid w:val="00FD73BE"/>
    <w:rsid w:val="00FD7513"/>
    <w:rsid w:val="00FD784C"/>
    <w:rsid w:val="00FD7F06"/>
    <w:rsid w:val="00FD7F9F"/>
    <w:rsid w:val="00FE000E"/>
    <w:rsid w:val="00FE02F2"/>
    <w:rsid w:val="00FE055D"/>
    <w:rsid w:val="00FE0932"/>
    <w:rsid w:val="00FE0D0F"/>
    <w:rsid w:val="00FE0DAE"/>
    <w:rsid w:val="00FE0EE3"/>
    <w:rsid w:val="00FE10FB"/>
    <w:rsid w:val="00FE1341"/>
    <w:rsid w:val="00FE1A2E"/>
    <w:rsid w:val="00FE1C1D"/>
    <w:rsid w:val="00FE205C"/>
    <w:rsid w:val="00FE2A44"/>
    <w:rsid w:val="00FE300E"/>
    <w:rsid w:val="00FE30C9"/>
    <w:rsid w:val="00FE384C"/>
    <w:rsid w:val="00FE38F8"/>
    <w:rsid w:val="00FE3A19"/>
    <w:rsid w:val="00FE3A5B"/>
    <w:rsid w:val="00FE3CDB"/>
    <w:rsid w:val="00FE3DB2"/>
    <w:rsid w:val="00FE3F3E"/>
    <w:rsid w:val="00FE445B"/>
    <w:rsid w:val="00FE45A9"/>
    <w:rsid w:val="00FE471A"/>
    <w:rsid w:val="00FE4800"/>
    <w:rsid w:val="00FE4A7B"/>
    <w:rsid w:val="00FE521E"/>
    <w:rsid w:val="00FE567A"/>
    <w:rsid w:val="00FE5D27"/>
    <w:rsid w:val="00FE6156"/>
    <w:rsid w:val="00FE63DA"/>
    <w:rsid w:val="00FE692B"/>
    <w:rsid w:val="00FE6948"/>
    <w:rsid w:val="00FE6B25"/>
    <w:rsid w:val="00FE6C66"/>
    <w:rsid w:val="00FE6EFD"/>
    <w:rsid w:val="00FE720D"/>
    <w:rsid w:val="00FE7359"/>
    <w:rsid w:val="00FE748D"/>
    <w:rsid w:val="00FE7894"/>
    <w:rsid w:val="00FE7932"/>
    <w:rsid w:val="00FE7A30"/>
    <w:rsid w:val="00FE7D1C"/>
    <w:rsid w:val="00FE7EB3"/>
    <w:rsid w:val="00FE7F12"/>
    <w:rsid w:val="00FE7FB0"/>
    <w:rsid w:val="00FF0508"/>
    <w:rsid w:val="00FF0744"/>
    <w:rsid w:val="00FF0A83"/>
    <w:rsid w:val="00FF0C78"/>
    <w:rsid w:val="00FF0E90"/>
    <w:rsid w:val="00FF11BF"/>
    <w:rsid w:val="00FF1C20"/>
    <w:rsid w:val="00FF21FC"/>
    <w:rsid w:val="00FF2559"/>
    <w:rsid w:val="00FF2577"/>
    <w:rsid w:val="00FF2B8E"/>
    <w:rsid w:val="00FF2D39"/>
    <w:rsid w:val="00FF2E21"/>
    <w:rsid w:val="00FF2EEE"/>
    <w:rsid w:val="00FF2F9D"/>
    <w:rsid w:val="00FF306F"/>
    <w:rsid w:val="00FF325B"/>
    <w:rsid w:val="00FF3334"/>
    <w:rsid w:val="00FF3602"/>
    <w:rsid w:val="00FF388A"/>
    <w:rsid w:val="00FF4B1D"/>
    <w:rsid w:val="00FF4CB6"/>
    <w:rsid w:val="00FF4FC4"/>
    <w:rsid w:val="00FF5042"/>
    <w:rsid w:val="00FF51FF"/>
    <w:rsid w:val="00FF5518"/>
    <w:rsid w:val="00FF5780"/>
    <w:rsid w:val="00FF5879"/>
    <w:rsid w:val="00FF61B7"/>
    <w:rsid w:val="00FF6498"/>
    <w:rsid w:val="00FF6676"/>
    <w:rsid w:val="00FF674D"/>
    <w:rsid w:val="00FF6DEE"/>
    <w:rsid w:val="00FF6EAB"/>
    <w:rsid w:val="00FF6F0C"/>
    <w:rsid w:val="00FF78CD"/>
    <w:rsid w:val="00FF790F"/>
    <w:rsid w:val="00FF7987"/>
    <w:rsid w:val="00FF7F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2e74b5">
      <v:stroke color="#2e74b5" weight="1pt"/>
    </o:shapedefaults>
    <o:shapelayout v:ext="edit">
      <o:idmap v:ext="edit" data="2"/>
    </o:shapelayout>
  </w:shapeDefaults>
  <w:decimalSymbol w:val=","/>
  <w:listSeparator w:val=";"/>
  <w14:docId w14:val="560D7E49"/>
  <w15:chartTrackingRefBased/>
  <w15:docId w15:val="{872F973E-671F-4C1E-A774-451870DA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90994"/>
    <w:rPr>
      <w:sz w:val="24"/>
      <w:szCs w:val="24"/>
    </w:rPr>
  </w:style>
  <w:style w:type="paragraph" w:styleId="Titolo2">
    <w:name w:val="heading 2"/>
    <w:basedOn w:val="Normale"/>
    <w:next w:val="Normale"/>
    <w:qFormat/>
    <w:rsid w:val="00CC124A"/>
    <w:pPr>
      <w:keepNext/>
      <w:tabs>
        <w:tab w:val="left" w:pos="6120"/>
      </w:tabs>
      <w:outlineLvl w:val="1"/>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CC124A"/>
    <w:pPr>
      <w:tabs>
        <w:tab w:val="center" w:pos="4819"/>
        <w:tab w:val="right" w:pos="9638"/>
      </w:tabs>
    </w:pPr>
  </w:style>
  <w:style w:type="paragraph" w:styleId="Pidipagina">
    <w:name w:val="footer"/>
    <w:basedOn w:val="Normale"/>
    <w:link w:val="PidipaginaCarattere"/>
    <w:uiPriority w:val="99"/>
    <w:rsid w:val="00CC124A"/>
    <w:pPr>
      <w:tabs>
        <w:tab w:val="center" w:pos="4819"/>
        <w:tab w:val="right" w:pos="9638"/>
      </w:tabs>
    </w:pPr>
  </w:style>
  <w:style w:type="table" w:styleId="Grigliatabella">
    <w:name w:val="Table Grid"/>
    <w:basedOn w:val="Tabellanormale"/>
    <w:rsid w:val="00CC1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aliases w:val="Corpo del testo"/>
    <w:basedOn w:val="Normale"/>
    <w:rsid w:val="00E53845"/>
    <w:pPr>
      <w:tabs>
        <w:tab w:val="left" w:pos="6120"/>
      </w:tabs>
      <w:jc w:val="both"/>
    </w:pPr>
  </w:style>
  <w:style w:type="paragraph" w:styleId="NormaleWeb">
    <w:name w:val="Normal (Web)"/>
    <w:basedOn w:val="Normale"/>
    <w:rsid w:val="00E53845"/>
    <w:pPr>
      <w:spacing w:before="100" w:beforeAutospacing="1" w:after="100" w:afterAutospacing="1"/>
    </w:pPr>
  </w:style>
  <w:style w:type="paragraph" w:customStyle="1" w:styleId="titoletto">
    <w:name w:val="titoletto"/>
    <w:basedOn w:val="Normale"/>
    <w:rsid w:val="0080577E"/>
    <w:pPr>
      <w:autoSpaceDE w:val="0"/>
      <w:autoSpaceDN w:val="0"/>
      <w:adjustRightInd w:val="0"/>
      <w:spacing w:before="400" w:after="120"/>
      <w:jc w:val="both"/>
    </w:pPr>
    <w:rPr>
      <w:rFonts w:ascii="Arial" w:hAnsi="Arial" w:cs="Arial"/>
      <w:b/>
      <w:i/>
      <w:smallCaps/>
      <w:sz w:val="22"/>
      <w:szCs w:val="22"/>
    </w:rPr>
  </w:style>
  <w:style w:type="paragraph" w:customStyle="1" w:styleId="Voce">
    <w:name w:val="Voce"/>
    <w:basedOn w:val="Normale"/>
    <w:rsid w:val="00E53845"/>
    <w:pPr>
      <w:spacing w:before="240" w:after="240"/>
      <w:jc w:val="both"/>
    </w:pPr>
    <w:rPr>
      <w:rFonts w:ascii="Arial" w:hAnsi="Arial"/>
      <w:b/>
      <w:noProof/>
      <w:sz w:val="20"/>
      <w:szCs w:val="20"/>
    </w:rPr>
  </w:style>
  <w:style w:type="paragraph" w:styleId="Testonotaapidipagina">
    <w:name w:val="footnote text"/>
    <w:basedOn w:val="Normale"/>
    <w:semiHidden/>
    <w:rsid w:val="00170EC2"/>
    <w:rPr>
      <w:sz w:val="20"/>
      <w:szCs w:val="20"/>
    </w:rPr>
  </w:style>
  <w:style w:type="character" w:styleId="Rimandonotaapidipagina">
    <w:name w:val="footnote reference"/>
    <w:semiHidden/>
    <w:rsid w:val="00170EC2"/>
    <w:rPr>
      <w:vertAlign w:val="superscript"/>
    </w:rPr>
  </w:style>
  <w:style w:type="paragraph" w:styleId="Testofumetto">
    <w:name w:val="Balloon Text"/>
    <w:basedOn w:val="Normale"/>
    <w:semiHidden/>
    <w:rsid w:val="00E606F0"/>
    <w:rPr>
      <w:rFonts w:ascii="Tahoma" w:hAnsi="Tahoma" w:cs="Tahoma"/>
      <w:sz w:val="16"/>
      <w:szCs w:val="16"/>
    </w:rPr>
  </w:style>
  <w:style w:type="paragraph" w:styleId="Mappadocumento">
    <w:name w:val="Document Map"/>
    <w:basedOn w:val="Normale"/>
    <w:semiHidden/>
    <w:rsid w:val="00E606F0"/>
    <w:pPr>
      <w:shd w:val="clear" w:color="auto" w:fill="000080"/>
    </w:pPr>
    <w:rPr>
      <w:rFonts w:ascii="Tahoma" w:hAnsi="Tahoma" w:cs="Tahoma"/>
      <w:sz w:val="20"/>
      <w:szCs w:val="20"/>
    </w:rPr>
  </w:style>
  <w:style w:type="paragraph" w:customStyle="1" w:styleId="prospettoena-normaletesto">
    <w:name w:val="prospettoena-normaletesto"/>
    <w:basedOn w:val="Normale"/>
    <w:rsid w:val="004E04E1"/>
    <w:pPr>
      <w:autoSpaceDE w:val="0"/>
      <w:autoSpaceDN w:val="0"/>
      <w:spacing w:before="120" w:after="120"/>
      <w:jc w:val="both"/>
    </w:pPr>
    <w:rPr>
      <w:sz w:val="22"/>
      <w:szCs w:val="22"/>
    </w:rPr>
  </w:style>
  <w:style w:type="character" w:styleId="Enfasigrassetto">
    <w:name w:val="Strong"/>
    <w:qFormat/>
    <w:rsid w:val="004E04E1"/>
    <w:rPr>
      <w:b/>
      <w:bCs/>
    </w:rPr>
  </w:style>
  <w:style w:type="paragraph" w:customStyle="1" w:styleId="ABLOCKPARA">
    <w:name w:val="A BLOCK PARA"/>
    <w:basedOn w:val="Normale"/>
    <w:next w:val="Normale"/>
    <w:uiPriority w:val="99"/>
    <w:rsid w:val="00C6687D"/>
    <w:pPr>
      <w:autoSpaceDE w:val="0"/>
      <w:autoSpaceDN w:val="0"/>
      <w:adjustRightInd w:val="0"/>
    </w:pPr>
    <w:rPr>
      <w:rFonts w:ascii="Arial" w:hAnsi="Arial" w:cs="Arial"/>
    </w:rPr>
  </w:style>
  <w:style w:type="paragraph" w:customStyle="1" w:styleId="stile1">
    <w:name w:val="stile1"/>
    <w:basedOn w:val="Normale"/>
    <w:rsid w:val="003F01EF"/>
    <w:pPr>
      <w:jc w:val="both"/>
    </w:pPr>
    <w:rPr>
      <w:rFonts w:ascii="Arial" w:eastAsia="Calibri" w:hAnsi="Arial" w:cs="Arial"/>
      <w:sz w:val="22"/>
      <w:szCs w:val="22"/>
    </w:rPr>
  </w:style>
  <w:style w:type="paragraph" w:customStyle="1" w:styleId="Testots">
    <w:name w:val="Testo.ts"/>
    <w:basedOn w:val="Normale"/>
    <w:rsid w:val="001F133B"/>
    <w:pPr>
      <w:widowControl w:val="0"/>
      <w:adjustRightInd w:val="0"/>
      <w:spacing w:after="130" w:line="260" w:lineRule="exact"/>
      <w:jc w:val="both"/>
    </w:pPr>
    <w:rPr>
      <w:rFonts w:ascii="Times" w:hAnsi="Times"/>
      <w:sz w:val="22"/>
    </w:rPr>
  </w:style>
  <w:style w:type="character" w:customStyle="1" w:styleId="chinosig">
    <w:name w:val="chinosig"/>
    <w:semiHidden/>
    <w:rsid w:val="003F57A2"/>
    <w:rPr>
      <w:rFonts w:ascii="Arial" w:hAnsi="Arial" w:cs="Arial"/>
      <w:color w:val="auto"/>
      <w:sz w:val="20"/>
      <w:szCs w:val="20"/>
    </w:rPr>
  </w:style>
  <w:style w:type="paragraph" w:customStyle="1" w:styleId="ProspettoEna-Normaletesto0">
    <w:name w:val="Prospetto Enìa - Normale testo"/>
    <w:basedOn w:val="Normale"/>
    <w:rsid w:val="00D826CE"/>
    <w:pPr>
      <w:spacing w:before="120" w:after="120"/>
      <w:jc w:val="both"/>
    </w:pPr>
    <w:rPr>
      <w:sz w:val="22"/>
      <w:szCs w:val="22"/>
    </w:rPr>
  </w:style>
  <w:style w:type="paragraph" w:customStyle="1" w:styleId="Stile10">
    <w:name w:val="Stile1"/>
    <w:basedOn w:val="Normale"/>
    <w:link w:val="Stile1Carattere"/>
    <w:rsid w:val="00B41EAC"/>
    <w:pPr>
      <w:jc w:val="both"/>
    </w:pPr>
    <w:rPr>
      <w:rFonts w:ascii="Arial" w:hAnsi="Arial"/>
      <w:sz w:val="22"/>
      <w:lang w:eastAsia="x-none"/>
    </w:rPr>
  </w:style>
  <w:style w:type="character" w:customStyle="1" w:styleId="Stile1Carattere">
    <w:name w:val="Stile1 Carattere"/>
    <w:link w:val="Stile10"/>
    <w:rsid w:val="00B41EAC"/>
    <w:rPr>
      <w:rFonts w:ascii="Arial" w:hAnsi="Arial"/>
      <w:sz w:val="22"/>
      <w:szCs w:val="24"/>
    </w:rPr>
  </w:style>
  <w:style w:type="paragraph" w:styleId="Revisione">
    <w:name w:val="Revision"/>
    <w:hidden/>
    <w:uiPriority w:val="99"/>
    <w:semiHidden/>
    <w:rsid w:val="00641E10"/>
    <w:rPr>
      <w:sz w:val="24"/>
      <w:szCs w:val="24"/>
    </w:rPr>
  </w:style>
  <w:style w:type="character" w:styleId="Numeropagina">
    <w:name w:val="page number"/>
    <w:uiPriority w:val="99"/>
    <w:unhideWhenUsed/>
    <w:rsid w:val="001E271C"/>
  </w:style>
  <w:style w:type="paragraph" w:styleId="Sottotitolo">
    <w:name w:val="Subtitle"/>
    <w:basedOn w:val="Normale"/>
    <w:next w:val="Normale"/>
    <w:link w:val="SottotitoloCarattere"/>
    <w:qFormat/>
    <w:rsid w:val="001E271C"/>
    <w:pPr>
      <w:spacing w:after="60"/>
      <w:jc w:val="center"/>
      <w:outlineLvl w:val="1"/>
    </w:pPr>
    <w:rPr>
      <w:rFonts w:ascii="Cambria" w:hAnsi="Cambria"/>
    </w:rPr>
  </w:style>
  <w:style w:type="character" w:customStyle="1" w:styleId="SottotitoloCarattere">
    <w:name w:val="Sottotitolo Carattere"/>
    <w:link w:val="Sottotitolo"/>
    <w:rsid w:val="001E271C"/>
    <w:rPr>
      <w:rFonts w:ascii="Cambria" w:eastAsia="Times New Roman" w:hAnsi="Cambria" w:cs="Times New Roman"/>
      <w:sz w:val="24"/>
      <w:szCs w:val="24"/>
    </w:rPr>
  </w:style>
  <w:style w:type="paragraph" w:styleId="Titolo">
    <w:name w:val="Title"/>
    <w:basedOn w:val="Normale"/>
    <w:next w:val="Normale"/>
    <w:link w:val="TitoloCarattere"/>
    <w:qFormat/>
    <w:rsid w:val="001E271C"/>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1E271C"/>
    <w:rPr>
      <w:rFonts w:ascii="Cambria" w:eastAsia="Times New Roman" w:hAnsi="Cambria" w:cs="Times New Roman"/>
      <w:b/>
      <w:bCs/>
      <w:kern w:val="28"/>
      <w:sz w:val="32"/>
      <w:szCs w:val="32"/>
    </w:rPr>
  </w:style>
  <w:style w:type="character" w:styleId="Rimandocommento">
    <w:name w:val="annotation reference"/>
    <w:rsid w:val="005C4BBE"/>
    <w:rPr>
      <w:sz w:val="16"/>
      <w:szCs w:val="16"/>
    </w:rPr>
  </w:style>
  <w:style w:type="paragraph" w:styleId="Testocommento">
    <w:name w:val="annotation text"/>
    <w:basedOn w:val="Normale"/>
    <w:link w:val="TestocommentoCarattere"/>
    <w:rsid w:val="005C4BBE"/>
    <w:rPr>
      <w:sz w:val="20"/>
      <w:szCs w:val="20"/>
    </w:rPr>
  </w:style>
  <w:style w:type="character" w:customStyle="1" w:styleId="TestocommentoCarattere">
    <w:name w:val="Testo commento Carattere"/>
    <w:basedOn w:val="Carpredefinitoparagrafo"/>
    <w:link w:val="Testocommento"/>
    <w:rsid w:val="005C4BBE"/>
  </w:style>
  <w:style w:type="paragraph" w:styleId="Soggettocommento">
    <w:name w:val="annotation subject"/>
    <w:basedOn w:val="Testocommento"/>
    <w:next w:val="Testocommento"/>
    <w:link w:val="SoggettocommentoCarattere"/>
    <w:rsid w:val="005C4BBE"/>
    <w:rPr>
      <w:b/>
      <w:bCs/>
    </w:rPr>
  </w:style>
  <w:style w:type="character" w:customStyle="1" w:styleId="SoggettocommentoCarattere">
    <w:name w:val="Soggetto commento Carattere"/>
    <w:link w:val="Soggettocommento"/>
    <w:rsid w:val="005C4BBE"/>
    <w:rPr>
      <w:b/>
      <w:bCs/>
    </w:rPr>
  </w:style>
  <w:style w:type="paragraph" w:customStyle="1" w:styleId="Default">
    <w:name w:val="Default"/>
    <w:rsid w:val="00BC5E2C"/>
    <w:pPr>
      <w:autoSpaceDE w:val="0"/>
      <w:autoSpaceDN w:val="0"/>
      <w:adjustRightInd w:val="0"/>
    </w:pPr>
    <w:rPr>
      <w:rFonts w:ascii="Arial" w:eastAsia="Calibri" w:hAnsi="Arial" w:cs="Arial"/>
      <w:color w:val="000000"/>
      <w:sz w:val="24"/>
      <w:szCs w:val="24"/>
    </w:rPr>
  </w:style>
  <w:style w:type="character" w:styleId="Collegamentoipertestuale">
    <w:name w:val="Hyperlink"/>
    <w:uiPriority w:val="99"/>
    <w:rsid w:val="000619C1"/>
    <w:rPr>
      <w:color w:val="0563C1"/>
      <w:u w:val="single"/>
    </w:rPr>
  </w:style>
  <w:style w:type="paragraph" w:styleId="Paragrafoelenco">
    <w:name w:val="List Paragraph"/>
    <w:basedOn w:val="Normale"/>
    <w:uiPriority w:val="34"/>
    <w:qFormat/>
    <w:rsid w:val="00B46956"/>
    <w:pPr>
      <w:ind w:left="708"/>
    </w:pPr>
  </w:style>
  <w:style w:type="paragraph" w:customStyle="1" w:styleId="p3">
    <w:name w:val="p3"/>
    <w:basedOn w:val="Normale"/>
    <w:rsid w:val="00BD37AE"/>
    <w:pPr>
      <w:spacing w:before="100" w:beforeAutospacing="1" w:after="100" w:afterAutospacing="1"/>
    </w:pPr>
    <w:rPr>
      <w:rFonts w:eastAsia="Calibri"/>
    </w:rPr>
  </w:style>
  <w:style w:type="paragraph" w:customStyle="1" w:styleId="p11">
    <w:name w:val="p11"/>
    <w:basedOn w:val="Normale"/>
    <w:rsid w:val="00BD37AE"/>
    <w:pPr>
      <w:spacing w:before="100" w:beforeAutospacing="1" w:after="100" w:afterAutospacing="1"/>
    </w:pPr>
    <w:rPr>
      <w:rFonts w:eastAsia="Calibri"/>
    </w:rPr>
  </w:style>
  <w:style w:type="paragraph" w:customStyle="1" w:styleId="p12">
    <w:name w:val="p12"/>
    <w:basedOn w:val="Normale"/>
    <w:rsid w:val="00BD37AE"/>
    <w:pPr>
      <w:spacing w:before="100" w:beforeAutospacing="1" w:after="100" w:afterAutospacing="1"/>
    </w:pPr>
    <w:rPr>
      <w:rFonts w:eastAsia="Calibri"/>
    </w:rPr>
  </w:style>
  <w:style w:type="character" w:customStyle="1" w:styleId="PidipaginaCarattere">
    <w:name w:val="Piè di pagina Carattere"/>
    <w:link w:val="Pidipagina"/>
    <w:uiPriority w:val="99"/>
    <w:rsid w:val="00433861"/>
    <w:rPr>
      <w:sz w:val="24"/>
      <w:szCs w:val="24"/>
    </w:rPr>
  </w:style>
  <w:style w:type="paragraph" w:styleId="Citazione">
    <w:name w:val="Quote"/>
    <w:basedOn w:val="Normale"/>
    <w:next w:val="Normale"/>
    <w:link w:val="CitazioneCarattere"/>
    <w:uiPriority w:val="29"/>
    <w:qFormat/>
    <w:rsid w:val="007877A1"/>
    <w:pPr>
      <w:spacing w:before="200" w:after="160"/>
      <w:ind w:left="864" w:right="864"/>
      <w:jc w:val="center"/>
    </w:pPr>
    <w:rPr>
      <w:i/>
      <w:iCs/>
      <w:color w:val="404040"/>
    </w:rPr>
  </w:style>
  <w:style w:type="character" w:customStyle="1" w:styleId="CitazioneCarattere">
    <w:name w:val="Citazione Carattere"/>
    <w:link w:val="Citazione"/>
    <w:uiPriority w:val="29"/>
    <w:rsid w:val="007877A1"/>
    <w:rPr>
      <w:i/>
      <w:iCs/>
      <w:color w:val="404040"/>
      <w:sz w:val="24"/>
      <w:szCs w:val="24"/>
    </w:rPr>
  </w:style>
  <w:style w:type="character" w:styleId="Collegamentovisitato">
    <w:name w:val="FollowedHyperlink"/>
    <w:rsid w:val="00804F2F"/>
    <w:rPr>
      <w:color w:val="954F72"/>
      <w:u w:val="single"/>
    </w:rPr>
  </w:style>
  <w:style w:type="paragraph" w:styleId="PreformattatoHTML">
    <w:name w:val="HTML Preformatted"/>
    <w:basedOn w:val="Normale"/>
    <w:link w:val="PreformattatoHTMLCarattere"/>
    <w:uiPriority w:val="99"/>
    <w:unhideWhenUsed/>
    <w:rsid w:val="002D7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rsid w:val="002D7C42"/>
    <w:rPr>
      <w:rFonts w:ascii="Courier New" w:hAnsi="Courier New" w:cs="Courier New"/>
    </w:rPr>
  </w:style>
  <w:style w:type="character" w:styleId="Enfasicorsivo">
    <w:name w:val="Emphasis"/>
    <w:basedOn w:val="Carpredefinitoparagrafo"/>
    <w:qFormat/>
    <w:rsid w:val="002D3D38"/>
    <w:rPr>
      <w:i/>
      <w:iCs/>
    </w:rPr>
  </w:style>
  <w:style w:type="character" w:styleId="Menzionenonrisolta">
    <w:name w:val="Unresolved Mention"/>
    <w:basedOn w:val="Carpredefinitoparagrafo"/>
    <w:uiPriority w:val="99"/>
    <w:semiHidden/>
    <w:unhideWhenUsed/>
    <w:rsid w:val="0039143A"/>
    <w:rPr>
      <w:color w:val="605E5C"/>
      <w:shd w:val="clear" w:color="auto" w:fill="E1DFDD"/>
    </w:rPr>
  </w:style>
  <w:style w:type="paragraph" w:styleId="Testonotadichiusura">
    <w:name w:val="endnote text"/>
    <w:basedOn w:val="Normale"/>
    <w:link w:val="TestonotadichiusuraCarattere"/>
    <w:rsid w:val="003441FC"/>
    <w:rPr>
      <w:sz w:val="20"/>
      <w:szCs w:val="20"/>
    </w:rPr>
  </w:style>
  <w:style w:type="character" w:customStyle="1" w:styleId="TestonotadichiusuraCarattere">
    <w:name w:val="Testo nota di chiusura Carattere"/>
    <w:basedOn w:val="Carpredefinitoparagrafo"/>
    <w:link w:val="Testonotadichiusura"/>
    <w:rsid w:val="003441FC"/>
  </w:style>
  <w:style w:type="character" w:styleId="Rimandonotadichiusura">
    <w:name w:val="endnote reference"/>
    <w:basedOn w:val="Carpredefinitoparagrafo"/>
    <w:rsid w:val="003441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2665">
      <w:bodyDiv w:val="1"/>
      <w:marLeft w:val="0"/>
      <w:marRight w:val="0"/>
      <w:marTop w:val="0"/>
      <w:marBottom w:val="0"/>
      <w:divBdr>
        <w:top w:val="none" w:sz="0" w:space="0" w:color="auto"/>
        <w:left w:val="none" w:sz="0" w:space="0" w:color="auto"/>
        <w:bottom w:val="none" w:sz="0" w:space="0" w:color="auto"/>
        <w:right w:val="none" w:sz="0" w:space="0" w:color="auto"/>
      </w:divBdr>
    </w:div>
    <w:div w:id="58748746">
      <w:bodyDiv w:val="1"/>
      <w:marLeft w:val="0"/>
      <w:marRight w:val="0"/>
      <w:marTop w:val="0"/>
      <w:marBottom w:val="0"/>
      <w:divBdr>
        <w:top w:val="none" w:sz="0" w:space="0" w:color="auto"/>
        <w:left w:val="none" w:sz="0" w:space="0" w:color="auto"/>
        <w:bottom w:val="none" w:sz="0" w:space="0" w:color="auto"/>
        <w:right w:val="none" w:sz="0" w:space="0" w:color="auto"/>
      </w:divBdr>
    </w:div>
    <w:div w:id="83839778">
      <w:bodyDiv w:val="1"/>
      <w:marLeft w:val="0"/>
      <w:marRight w:val="0"/>
      <w:marTop w:val="0"/>
      <w:marBottom w:val="0"/>
      <w:divBdr>
        <w:top w:val="none" w:sz="0" w:space="0" w:color="auto"/>
        <w:left w:val="none" w:sz="0" w:space="0" w:color="auto"/>
        <w:bottom w:val="none" w:sz="0" w:space="0" w:color="auto"/>
        <w:right w:val="none" w:sz="0" w:space="0" w:color="auto"/>
      </w:divBdr>
    </w:div>
    <w:div w:id="150558655">
      <w:bodyDiv w:val="1"/>
      <w:marLeft w:val="0"/>
      <w:marRight w:val="0"/>
      <w:marTop w:val="0"/>
      <w:marBottom w:val="0"/>
      <w:divBdr>
        <w:top w:val="none" w:sz="0" w:space="0" w:color="auto"/>
        <w:left w:val="none" w:sz="0" w:space="0" w:color="auto"/>
        <w:bottom w:val="none" w:sz="0" w:space="0" w:color="auto"/>
        <w:right w:val="none" w:sz="0" w:space="0" w:color="auto"/>
      </w:divBdr>
    </w:div>
    <w:div w:id="151681495">
      <w:bodyDiv w:val="1"/>
      <w:marLeft w:val="0"/>
      <w:marRight w:val="0"/>
      <w:marTop w:val="0"/>
      <w:marBottom w:val="0"/>
      <w:divBdr>
        <w:top w:val="none" w:sz="0" w:space="0" w:color="auto"/>
        <w:left w:val="none" w:sz="0" w:space="0" w:color="auto"/>
        <w:bottom w:val="none" w:sz="0" w:space="0" w:color="auto"/>
        <w:right w:val="none" w:sz="0" w:space="0" w:color="auto"/>
      </w:divBdr>
    </w:div>
    <w:div w:id="176044532">
      <w:bodyDiv w:val="1"/>
      <w:marLeft w:val="0"/>
      <w:marRight w:val="0"/>
      <w:marTop w:val="0"/>
      <w:marBottom w:val="0"/>
      <w:divBdr>
        <w:top w:val="none" w:sz="0" w:space="0" w:color="auto"/>
        <w:left w:val="none" w:sz="0" w:space="0" w:color="auto"/>
        <w:bottom w:val="none" w:sz="0" w:space="0" w:color="auto"/>
        <w:right w:val="none" w:sz="0" w:space="0" w:color="auto"/>
      </w:divBdr>
    </w:div>
    <w:div w:id="219900620">
      <w:bodyDiv w:val="1"/>
      <w:marLeft w:val="0"/>
      <w:marRight w:val="0"/>
      <w:marTop w:val="0"/>
      <w:marBottom w:val="0"/>
      <w:divBdr>
        <w:top w:val="none" w:sz="0" w:space="0" w:color="auto"/>
        <w:left w:val="none" w:sz="0" w:space="0" w:color="auto"/>
        <w:bottom w:val="none" w:sz="0" w:space="0" w:color="auto"/>
        <w:right w:val="none" w:sz="0" w:space="0" w:color="auto"/>
      </w:divBdr>
    </w:div>
    <w:div w:id="229848817">
      <w:bodyDiv w:val="1"/>
      <w:marLeft w:val="0"/>
      <w:marRight w:val="0"/>
      <w:marTop w:val="0"/>
      <w:marBottom w:val="0"/>
      <w:divBdr>
        <w:top w:val="none" w:sz="0" w:space="0" w:color="auto"/>
        <w:left w:val="none" w:sz="0" w:space="0" w:color="auto"/>
        <w:bottom w:val="none" w:sz="0" w:space="0" w:color="auto"/>
        <w:right w:val="none" w:sz="0" w:space="0" w:color="auto"/>
      </w:divBdr>
    </w:div>
    <w:div w:id="310213492">
      <w:bodyDiv w:val="1"/>
      <w:marLeft w:val="0"/>
      <w:marRight w:val="0"/>
      <w:marTop w:val="0"/>
      <w:marBottom w:val="0"/>
      <w:divBdr>
        <w:top w:val="none" w:sz="0" w:space="0" w:color="auto"/>
        <w:left w:val="none" w:sz="0" w:space="0" w:color="auto"/>
        <w:bottom w:val="none" w:sz="0" w:space="0" w:color="auto"/>
        <w:right w:val="none" w:sz="0" w:space="0" w:color="auto"/>
      </w:divBdr>
    </w:div>
    <w:div w:id="355735822">
      <w:bodyDiv w:val="1"/>
      <w:marLeft w:val="0"/>
      <w:marRight w:val="0"/>
      <w:marTop w:val="0"/>
      <w:marBottom w:val="0"/>
      <w:divBdr>
        <w:top w:val="none" w:sz="0" w:space="0" w:color="auto"/>
        <w:left w:val="none" w:sz="0" w:space="0" w:color="auto"/>
        <w:bottom w:val="none" w:sz="0" w:space="0" w:color="auto"/>
        <w:right w:val="none" w:sz="0" w:space="0" w:color="auto"/>
      </w:divBdr>
    </w:div>
    <w:div w:id="395010359">
      <w:bodyDiv w:val="1"/>
      <w:marLeft w:val="0"/>
      <w:marRight w:val="0"/>
      <w:marTop w:val="0"/>
      <w:marBottom w:val="0"/>
      <w:divBdr>
        <w:top w:val="none" w:sz="0" w:space="0" w:color="auto"/>
        <w:left w:val="none" w:sz="0" w:space="0" w:color="auto"/>
        <w:bottom w:val="none" w:sz="0" w:space="0" w:color="auto"/>
        <w:right w:val="none" w:sz="0" w:space="0" w:color="auto"/>
      </w:divBdr>
    </w:div>
    <w:div w:id="417558251">
      <w:bodyDiv w:val="1"/>
      <w:marLeft w:val="0"/>
      <w:marRight w:val="0"/>
      <w:marTop w:val="0"/>
      <w:marBottom w:val="0"/>
      <w:divBdr>
        <w:top w:val="none" w:sz="0" w:space="0" w:color="auto"/>
        <w:left w:val="none" w:sz="0" w:space="0" w:color="auto"/>
        <w:bottom w:val="none" w:sz="0" w:space="0" w:color="auto"/>
        <w:right w:val="none" w:sz="0" w:space="0" w:color="auto"/>
      </w:divBdr>
    </w:div>
    <w:div w:id="471870642">
      <w:bodyDiv w:val="1"/>
      <w:marLeft w:val="0"/>
      <w:marRight w:val="0"/>
      <w:marTop w:val="0"/>
      <w:marBottom w:val="0"/>
      <w:divBdr>
        <w:top w:val="none" w:sz="0" w:space="0" w:color="auto"/>
        <w:left w:val="none" w:sz="0" w:space="0" w:color="auto"/>
        <w:bottom w:val="none" w:sz="0" w:space="0" w:color="auto"/>
        <w:right w:val="none" w:sz="0" w:space="0" w:color="auto"/>
      </w:divBdr>
    </w:div>
    <w:div w:id="617107418">
      <w:bodyDiv w:val="1"/>
      <w:marLeft w:val="0"/>
      <w:marRight w:val="0"/>
      <w:marTop w:val="0"/>
      <w:marBottom w:val="0"/>
      <w:divBdr>
        <w:top w:val="none" w:sz="0" w:space="0" w:color="auto"/>
        <w:left w:val="none" w:sz="0" w:space="0" w:color="auto"/>
        <w:bottom w:val="none" w:sz="0" w:space="0" w:color="auto"/>
        <w:right w:val="none" w:sz="0" w:space="0" w:color="auto"/>
      </w:divBdr>
    </w:div>
    <w:div w:id="617297995">
      <w:bodyDiv w:val="1"/>
      <w:marLeft w:val="0"/>
      <w:marRight w:val="0"/>
      <w:marTop w:val="0"/>
      <w:marBottom w:val="0"/>
      <w:divBdr>
        <w:top w:val="none" w:sz="0" w:space="0" w:color="auto"/>
        <w:left w:val="none" w:sz="0" w:space="0" w:color="auto"/>
        <w:bottom w:val="none" w:sz="0" w:space="0" w:color="auto"/>
        <w:right w:val="none" w:sz="0" w:space="0" w:color="auto"/>
      </w:divBdr>
    </w:div>
    <w:div w:id="618344821">
      <w:bodyDiv w:val="1"/>
      <w:marLeft w:val="0"/>
      <w:marRight w:val="0"/>
      <w:marTop w:val="0"/>
      <w:marBottom w:val="0"/>
      <w:divBdr>
        <w:top w:val="none" w:sz="0" w:space="0" w:color="auto"/>
        <w:left w:val="none" w:sz="0" w:space="0" w:color="auto"/>
        <w:bottom w:val="none" w:sz="0" w:space="0" w:color="auto"/>
        <w:right w:val="none" w:sz="0" w:space="0" w:color="auto"/>
      </w:divBdr>
    </w:div>
    <w:div w:id="769935683">
      <w:bodyDiv w:val="1"/>
      <w:marLeft w:val="0"/>
      <w:marRight w:val="0"/>
      <w:marTop w:val="0"/>
      <w:marBottom w:val="0"/>
      <w:divBdr>
        <w:top w:val="none" w:sz="0" w:space="0" w:color="auto"/>
        <w:left w:val="none" w:sz="0" w:space="0" w:color="auto"/>
        <w:bottom w:val="none" w:sz="0" w:space="0" w:color="auto"/>
        <w:right w:val="none" w:sz="0" w:space="0" w:color="auto"/>
      </w:divBdr>
    </w:div>
    <w:div w:id="792789498">
      <w:bodyDiv w:val="1"/>
      <w:marLeft w:val="0"/>
      <w:marRight w:val="0"/>
      <w:marTop w:val="0"/>
      <w:marBottom w:val="0"/>
      <w:divBdr>
        <w:top w:val="none" w:sz="0" w:space="0" w:color="auto"/>
        <w:left w:val="none" w:sz="0" w:space="0" w:color="auto"/>
        <w:bottom w:val="none" w:sz="0" w:space="0" w:color="auto"/>
        <w:right w:val="none" w:sz="0" w:space="0" w:color="auto"/>
      </w:divBdr>
      <w:divsChild>
        <w:div w:id="656232118">
          <w:marLeft w:val="274"/>
          <w:marRight w:val="0"/>
          <w:marTop w:val="86"/>
          <w:marBottom w:val="0"/>
          <w:divBdr>
            <w:top w:val="none" w:sz="0" w:space="0" w:color="auto"/>
            <w:left w:val="none" w:sz="0" w:space="0" w:color="auto"/>
            <w:bottom w:val="none" w:sz="0" w:space="0" w:color="auto"/>
            <w:right w:val="none" w:sz="0" w:space="0" w:color="auto"/>
          </w:divBdr>
        </w:div>
        <w:div w:id="713163131">
          <w:marLeft w:val="274"/>
          <w:marRight w:val="0"/>
          <w:marTop w:val="86"/>
          <w:marBottom w:val="0"/>
          <w:divBdr>
            <w:top w:val="none" w:sz="0" w:space="0" w:color="auto"/>
            <w:left w:val="none" w:sz="0" w:space="0" w:color="auto"/>
            <w:bottom w:val="none" w:sz="0" w:space="0" w:color="auto"/>
            <w:right w:val="none" w:sz="0" w:space="0" w:color="auto"/>
          </w:divBdr>
        </w:div>
        <w:div w:id="785736111">
          <w:marLeft w:val="274"/>
          <w:marRight w:val="0"/>
          <w:marTop w:val="86"/>
          <w:marBottom w:val="0"/>
          <w:divBdr>
            <w:top w:val="none" w:sz="0" w:space="0" w:color="auto"/>
            <w:left w:val="none" w:sz="0" w:space="0" w:color="auto"/>
            <w:bottom w:val="none" w:sz="0" w:space="0" w:color="auto"/>
            <w:right w:val="none" w:sz="0" w:space="0" w:color="auto"/>
          </w:divBdr>
        </w:div>
        <w:div w:id="808547284">
          <w:marLeft w:val="274"/>
          <w:marRight w:val="0"/>
          <w:marTop w:val="86"/>
          <w:marBottom w:val="0"/>
          <w:divBdr>
            <w:top w:val="none" w:sz="0" w:space="0" w:color="auto"/>
            <w:left w:val="none" w:sz="0" w:space="0" w:color="auto"/>
            <w:bottom w:val="none" w:sz="0" w:space="0" w:color="auto"/>
            <w:right w:val="none" w:sz="0" w:space="0" w:color="auto"/>
          </w:divBdr>
        </w:div>
        <w:div w:id="1700277770">
          <w:marLeft w:val="274"/>
          <w:marRight w:val="0"/>
          <w:marTop w:val="86"/>
          <w:marBottom w:val="0"/>
          <w:divBdr>
            <w:top w:val="none" w:sz="0" w:space="0" w:color="auto"/>
            <w:left w:val="none" w:sz="0" w:space="0" w:color="auto"/>
            <w:bottom w:val="none" w:sz="0" w:space="0" w:color="auto"/>
            <w:right w:val="none" w:sz="0" w:space="0" w:color="auto"/>
          </w:divBdr>
        </w:div>
        <w:div w:id="2028094753">
          <w:marLeft w:val="274"/>
          <w:marRight w:val="0"/>
          <w:marTop w:val="86"/>
          <w:marBottom w:val="0"/>
          <w:divBdr>
            <w:top w:val="none" w:sz="0" w:space="0" w:color="auto"/>
            <w:left w:val="none" w:sz="0" w:space="0" w:color="auto"/>
            <w:bottom w:val="none" w:sz="0" w:space="0" w:color="auto"/>
            <w:right w:val="none" w:sz="0" w:space="0" w:color="auto"/>
          </w:divBdr>
        </w:div>
      </w:divsChild>
    </w:div>
    <w:div w:id="796409052">
      <w:bodyDiv w:val="1"/>
      <w:marLeft w:val="0"/>
      <w:marRight w:val="0"/>
      <w:marTop w:val="0"/>
      <w:marBottom w:val="0"/>
      <w:divBdr>
        <w:top w:val="none" w:sz="0" w:space="0" w:color="auto"/>
        <w:left w:val="none" w:sz="0" w:space="0" w:color="auto"/>
        <w:bottom w:val="none" w:sz="0" w:space="0" w:color="auto"/>
        <w:right w:val="none" w:sz="0" w:space="0" w:color="auto"/>
      </w:divBdr>
    </w:div>
    <w:div w:id="806362721">
      <w:bodyDiv w:val="1"/>
      <w:marLeft w:val="0"/>
      <w:marRight w:val="0"/>
      <w:marTop w:val="0"/>
      <w:marBottom w:val="0"/>
      <w:divBdr>
        <w:top w:val="none" w:sz="0" w:space="0" w:color="auto"/>
        <w:left w:val="none" w:sz="0" w:space="0" w:color="auto"/>
        <w:bottom w:val="none" w:sz="0" w:space="0" w:color="auto"/>
        <w:right w:val="none" w:sz="0" w:space="0" w:color="auto"/>
      </w:divBdr>
    </w:div>
    <w:div w:id="811794752">
      <w:bodyDiv w:val="1"/>
      <w:marLeft w:val="0"/>
      <w:marRight w:val="0"/>
      <w:marTop w:val="0"/>
      <w:marBottom w:val="0"/>
      <w:divBdr>
        <w:top w:val="none" w:sz="0" w:space="0" w:color="auto"/>
        <w:left w:val="none" w:sz="0" w:space="0" w:color="auto"/>
        <w:bottom w:val="none" w:sz="0" w:space="0" w:color="auto"/>
        <w:right w:val="none" w:sz="0" w:space="0" w:color="auto"/>
      </w:divBdr>
    </w:div>
    <w:div w:id="848106201">
      <w:bodyDiv w:val="1"/>
      <w:marLeft w:val="0"/>
      <w:marRight w:val="0"/>
      <w:marTop w:val="0"/>
      <w:marBottom w:val="0"/>
      <w:divBdr>
        <w:top w:val="none" w:sz="0" w:space="0" w:color="auto"/>
        <w:left w:val="none" w:sz="0" w:space="0" w:color="auto"/>
        <w:bottom w:val="none" w:sz="0" w:space="0" w:color="auto"/>
        <w:right w:val="none" w:sz="0" w:space="0" w:color="auto"/>
      </w:divBdr>
    </w:div>
    <w:div w:id="868763497">
      <w:bodyDiv w:val="1"/>
      <w:marLeft w:val="0"/>
      <w:marRight w:val="0"/>
      <w:marTop w:val="0"/>
      <w:marBottom w:val="0"/>
      <w:divBdr>
        <w:top w:val="none" w:sz="0" w:space="0" w:color="auto"/>
        <w:left w:val="none" w:sz="0" w:space="0" w:color="auto"/>
        <w:bottom w:val="none" w:sz="0" w:space="0" w:color="auto"/>
        <w:right w:val="none" w:sz="0" w:space="0" w:color="auto"/>
      </w:divBdr>
    </w:div>
    <w:div w:id="873464917">
      <w:bodyDiv w:val="1"/>
      <w:marLeft w:val="0"/>
      <w:marRight w:val="0"/>
      <w:marTop w:val="0"/>
      <w:marBottom w:val="0"/>
      <w:divBdr>
        <w:top w:val="none" w:sz="0" w:space="0" w:color="auto"/>
        <w:left w:val="none" w:sz="0" w:space="0" w:color="auto"/>
        <w:bottom w:val="none" w:sz="0" w:space="0" w:color="auto"/>
        <w:right w:val="none" w:sz="0" w:space="0" w:color="auto"/>
      </w:divBdr>
    </w:div>
    <w:div w:id="920061824">
      <w:bodyDiv w:val="1"/>
      <w:marLeft w:val="0"/>
      <w:marRight w:val="0"/>
      <w:marTop w:val="0"/>
      <w:marBottom w:val="0"/>
      <w:divBdr>
        <w:top w:val="none" w:sz="0" w:space="0" w:color="auto"/>
        <w:left w:val="none" w:sz="0" w:space="0" w:color="auto"/>
        <w:bottom w:val="none" w:sz="0" w:space="0" w:color="auto"/>
        <w:right w:val="none" w:sz="0" w:space="0" w:color="auto"/>
      </w:divBdr>
    </w:div>
    <w:div w:id="954406890">
      <w:bodyDiv w:val="1"/>
      <w:marLeft w:val="0"/>
      <w:marRight w:val="0"/>
      <w:marTop w:val="0"/>
      <w:marBottom w:val="0"/>
      <w:divBdr>
        <w:top w:val="none" w:sz="0" w:space="0" w:color="auto"/>
        <w:left w:val="none" w:sz="0" w:space="0" w:color="auto"/>
        <w:bottom w:val="none" w:sz="0" w:space="0" w:color="auto"/>
        <w:right w:val="none" w:sz="0" w:space="0" w:color="auto"/>
      </w:divBdr>
    </w:div>
    <w:div w:id="1019622087">
      <w:bodyDiv w:val="1"/>
      <w:marLeft w:val="0"/>
      <w:marRight w:val="0"/>
      <w:marTop w:val="0"/>
      <w:marBottom w:val="0"/>
      <w:divBdr>
        <w:top w:val="none" w:sz="0" w:space="0" w:color="auto"/>
        <w:left w:val="none" w:sz="0" w:space="0" w:color="auto"/>
        <w:bottom w:val="none" w:sz="0" w:space="0" w:color="auto"/>
        <w:right w:val="none" w:sz="0" w:space="0" w:color="auto"/>
      </w:divBdr>
    </w:div>
    <w:div w:id="1021129650">
      <w:bodyDiv w:val="1"/>
      <w:marLeft w:val="0"/>
      <w:marRight w:val="0"/>
      <w:marTop w:val="0"/>
      <w:marBottom w:val="0"/>
      <w:divBdr>
        <w:top w:val="none" w:sz="0" w:space="0" w:color="auto"/>
        <w:left w:val="none" w:sz="0" w:space="0" w:color="auto"/>
        <w:bottom w:val="none" w:sz="0" w:space="0" w:color="auto"/>
        <w:right w:val="none" w:sz="0" w:space="0" w:color="auto"/>
      </w:divBdr>
    </w:div>
    <w:div w:id="1043015201">
      <w:bodyDiv w:val="1"/>
      <w:marLeft w:val="0"/>
      <w:marRight w:val="0"/>
      <w:marTop w:val="0"/>
      <w:marBottom w:val="0"/>
      <w:divBdr>
        <w:top w:val="none" w:sz="0" w:space="0" w:color="auto"/>
        <w:left w:val="none" w:sz="0" w:space="0" w:color="auto"/>
        <w:bottom w:val="none" w:sz="0" w:space="0" w:color="auto"/>
        <w:right w:val="none" w:sz="0" w:space="0" w:color="auto"/>
      </w:divBdr>
    </w:div>
    <w:div w:id="1047492458">
      <w:bodyDiv w:val="1"/>
      <w:marLeft w:val="0"/>
      <w:marRight w:val="0"/>
      <w:marTop w:val="0"/>
      <w:marBottom w:val="0"/>
      <w:divBdr>
        <w:top w:val="none" w:sz="0" w:space="0" w:color="auto"/>
        <w:left w:val="none" w:sz="0" w:space="0" w:color="auto"/>
        <w:bottom w:val="none" w:sz="0" w:space="0" w:color="auto"/>
        <w:right w:val="none" w:sz="0" w:space="0" w:color="auto"/>
      </w:divBdr>
    </w:div>
    <w:div w:id="1081757526">
      <w:bodyDiv w:val="1"/>
      <w:marLeft w:val="0"/>
      <w:marRight w:val="0"/>
      <w:marTop w:val="0"/>
      <w:marBottom w:val="0"/>
      <w:divBdr>
        <w:top w:val="none" w:sz="0" w:space="0" w:color="auto"/>
        <w:left w:val="none" w:sz="0" w:space="0" w:color="auto"/>
        <w:bottom w:val="none" w:sz="0" w:space="0" w:color="auto"/>
        <w:right w:val="none" w:sz="0" w:space="0" w:color="auto"/>
      </w:divBdr>
    </w:div>
    <w:div w:id="1092167182">
      <w:bodyDiv w:val="1"/>
      <w:marLeft w:val="0"/>
      <w:marRight w:val="0"/>
      <w:marTop w:val="0"/>
      <w:marBottom w:val="0"/>
      <w:divBdr>
        <w:top w:val="none" w:sz="0" w:space="0" w:color="auto"/>
        <w:left w:val="none" w:sz="0" w:space="0" w:color="auto"/>
        <w:bottom w:val="none" w:sz="0" w:space="0" w:color="auto"/>
        <w:right w:val="none" w:sz="0" w:space="0" w:color="auto"/>
      </w:divBdr>
    </w:div>
    <w:div w:id="1142700927">
      <w:bodyDiv w:val="1"/>
      <w:marLeft w:val="0"/>
      <w:marRight w:val="0"/>
      <w:marTop w:val="0"/>
      <w:marBottom w:val="0"/>
      <w:divBdr>
        <w:top w:val="none" w:sz="0" w:space="0" w:color="auto"/>
        <w:left w:val="none" w:sz="0" w:space="0" w:color="auto"/>
        <w:bottom w:val="none" w:sz="0" w:space="0" w:color="auto"/>
        <w:right w:val="none" w:sz="0" w:space="0" w:color="auto"/>
      </w:divBdr>
    </w:div>
    <w:div w:id="1143930927">
      <w:bodyDiv w:val="1"/>
      <w:marLeft w:val="0"/>
      <w:marRight w:val="0"/>
      <w:marTop w:val="0"/>
      <w:marBottom w:val="0"/>
      <w:divBdr>
        <w:top w:val="none" w:sz="0" w:space="0" w:color="auto"/>
        <w:left w:val="none" w:sz="0" w:space="0" w:color="auto"/>
        <w:bottom w:val="none" w:sz="0" w:space="0" w:color="auto"/>
        <w:right w:val="none" w:sz="0" w:space="0" w:color="auto"/>
      </w:divBdr>
    </w:div>
    <w:div w:id="1146625829">
      <w:bodyDiv w:val="1"/>
      <w:marLeft w:val="0"/>
      <w:marRight w:val="0"/>
      <w:marTop w:val="0"/>
      <w:marBottom w:val="0"/>
      <w:divBdr>
        <w:top w:val="none" w:sz="0" w:space="0" w:color="auto"/>
        <w:left w:val="none" w:sz="0" w:space="0" w:color="auto"/>
        <w:bottom w:val="none" w:sz="0" w:space="0" w:color="auto"/>
        <w:right w:val="none" w:sz="0" w:space="0" w:color="auto"/>
      </w:divBdr>
    </w:div>
    <w:div w:id="1154950416">
      <w:bodyDiv w:val="1"/>
      <w:marLeft w:val="0"/>
      <w:marRight w:val="0"/>
      <w:marTop w:val="0"/>
      <w:marBottom w:val="0"/>
      <w:divBdr>
        <w:top w:val="none" w:sz="0" w:space="0" w:color="auto"/>
        <w:left w:val="none" w:sz="0" w:space="0" w:color="auto"/>
        <w:bottom w:val="none" w:sz="0" w:space="0" w:color="auto"/>
        <w:right w:val="none" w:sz="0" w:space="0" w:color="auto"/>
      </w:divBdr>
    </w:div>
    <w:div w:id="1241871941">
      <w:bodyDiv w:val="1"/>
      <w:marLeft w:val="0"/>
      <w:marRight w:val="0"/>
      <w:marTop w:val="0"/>
      <w:marBottom w:val="0"/>
      <w:divBdr>
        <w:top w:val="none" w:sz="0" w:space="0" w:color="auto"/>
        <w:left w:val="none" w:sz="0" w:space="0" w:color="auto"/>
        <w:bottom w:val="none" w:sz="0" w:space="0" w:color="auto"/>
        <w:right w:val="none" w:sz="0" w:space="0" w:color="auto"/>
      </w:divBdr>
    </w:div>
    <w:div w:id="1248880437">
      <w:bodyDiv w:val="1"/>
      <w:marLeft w:val="0"/>
      <w:marRight w:val="0"/>
      <w:marTop w:val="0"/>
      <w:marBottom w:val="0"/>
      <w:divBdr>
        <w:top w:val="none" w:sz="0" w:space="0" w:color="auto"/>
        <w:left w:val="none" w:sz="0" w:space="0" w:color="auto"/>
        <w:bottom w:val="none" w:sz="0" w:space="0" w:color="auto"/>
        <w:right w:val="none" w:sz="0" w:space="0" w:color="auto"/>
      </w:divBdr>
    </w:div>
    <w:div w:id="1264991650">
      <w:bodyDiv w:val="1"/>
      <w:marLeft w:val="0"/>
      <w:marRight w:val="0"/>
      <w:marTop w:val="0"/>
      <w:marBottom w:val="0"/>
      <w:divBdr>
        <w:top w:val="none" w:sz="0" w:space="0" w:color="auto"/>
        <w:left w:val="none" w:sz="0" w:space="0" w:color="auto"/>
        <w:bottom w:val="none" w:sz="0" w:space="0" w:color="auto"/>
        <w:right w:val="none" w:sz="0" w:space="0" w:color="auto"/>
      </w:divBdr>
    </w:div>
    <w:div w:id="1307466342">
      <w:bodyDiv w:val="1"/>
      <w:marLeft w:val="0"/>
      <w:marRight w:val="0"/>
      <w:marTop w:val="0"/>
      <w:marBottom w:val="0"/>
      <w:divBdr>
        <w:top w:val="none" w:sz="0" w:space="0" w:color="auto"/>
        <w:left w:val="none" w:sz="0" w:space="0" w:color="auto"/>
        <w:bottom w:val="none" w:sz="0" w:space="0" w:color="auto"/>
        <w:right w:val="none" w:sz="0" w:space="0" w:color="auto"/>
      </w:divBdr>
    </w:div>
    <w:div w:id="1312948929">
      <w:bodyDiv w:val="1"/>
      <w:marLeft w:val="0"/>
      <w:marRight w:val="0"/>
      <w:marTop w:val="0"/>
      <w:marBottom w:val="0"/>
      <w:divBdr>
        <w:top w:val="none" w:sz="0" w:space="0" w:color="auto"/>
        <w:left w:val="none" w:sz="0" w:space="0" w:color="auto"/>
        <w:bottom w:val="none" w:sz="0" w:space="0" w:color="auto"/>
        <w:right w:val="none" w:sz="0" w:space="0" w:color="auto"/>
      </w:divBdr>
    </w:div>
    <w:div w:id="1331372798">
      <w:bodyDiv w:val="1"/>
      <w:marLeft w:val="0"/>
      <w:marRight w:val="0"/>
      <w:marTop w:val="0"/>
      <w:marBottom w:val="0"/>
      <w:divBdr>
        <w:top w:val="none" w:sz="0" w:space="0" w:color="auto"/>
        <w:left w:val="none" w:sz="0" w:space="0" w:color="auto"/>
        <w:bottom w:val="none" w:sz="0" w:space="0" w:color="auto"/>
        <w:right w:val="none" w:sz="0" w:space="0" w:color="auto"/>
      </w:divBdr>
    </w:div>
    <w:div w:id="1349675056">
      <w:bodyDiv w:val="1"/>
      <w:marLeft w:val="0"/>
      <w:marRight w:val="0"/>
      <w:marTop w:val="0"/>
      <w:marBottom w:val="0"/>
      <w:divBdr>
        <w:top w:val="none" w:sz="0" w:space="0" w:color="auto"/>
        <w:left w:val="none" w:sz="0" w:space="0" w:color="auto"/>
        <w:bottom w:val="none" w:sz="0" w:space="0" w:color="auto"/>
        <w:right w:val="none" w:sz="0" w:space="0" w:color="auto"/>
      </w:divBdr>
    </w:div>
    <w:div w:id="1359306910">
      <w:bodyDiv w:val="1"/>
      <w:marLeft w:val="0"/>
      <w:marRight w:val="0"/>
      <w:marTop w:val="0"/>
      <w:marBottom w:val="0"/>
      <w:divBdr>
        <w:top w:val="none" w:sz="0" w:space="0" w:color="auto"/>
        <w:left w:val="none" w:sz="0" w:space="0" w:color="auto"/>
        <w:bottom w:val="none" w:sz="0" w:space="0" w:color="auto"/>
        <w:right w:val="none" w:sz="0" w:space="0" w:color="auto"/>
      </w:divBdr>
    </w:div>
    <w:div w:id="1414087045">
      <w:bodyDiv w:val="1"/>
      <w:marLeft w:val="0"/>
      <w:marRight w:val="0"/>
      <w:marTop w:val="0"/>
      <w:marBottom w:val="0"/>
      <w:divBdr>
        <w:top w:val="none" w:sz="0" w:space="0" w:color="auto"/>
        <w:left w:val="none" w:sz="0" w:space="0" w:color="auto"/>
        <w:bottom w:val="none" w:sz="0" w:space="0" w:color="auto"/>
        <w:right w:val="none" w:sz="0" w:space="0" w:color="auto"/>
      </w:divBdr>
    </w:div>
    <w:div w:id="1421100680">
      <w:bodyDiv w:val="1"/>
      <w:marLeft w:val="0"/>
      <w:marRight w:val="0"/>
      <w:marTop w:val="0"/>
      <w:marBottom w:val="0"/>
      <w:divBdr>
        <w:top w:val="none" w:sz="0" w:space="0" w:color="auto"/>
        <w:left w:val="none" w:sz="0" w:space="0" w:color="auto"/>
        <w:bottom w:val="none" w:sz="0" w:space="0" w:color="auto"/>
        <w:right w:val="none" w:sz="0" w:space="0" w:color="auto"/>
      </w:divBdr>
    </w:div>
    <w:div w:id="1437485812">
      <w:bodyDiv w:val="1"/>
      <w:marLeft w:val="0"/>
      <w:marRight w:val="0"/>
      <w:marTop w:val="0"/>
      <w:marBottom w:val="0"/>
      <w:divBdr>
        <w:top w:val="none" w:sz="0" w:space="0" w:color="auto"/>
        <w:left w:val="none" w:sz="0" w:space="0" w:color="auto"/>
        <w:bottom w:val="none" w:sz="0" w:space="0" w:color="auto"/>
        <w:right w:val="none" w:sz="0" w:space="0" w:color="auto"/>
      </w:divBdr>
    </w:div>
    <w:div w:id="1440681024">
      <w:bodyDiv w:val="1"/>
      <w:marLeft w:val="0"/>
      <w:marRight w:val="0"/>
      <w:marTop w:val="0"/>
      <w:marBottom w:val="0"/>
      <w:divBdr>
        <w:top w:val="none" w:sz="0" w:space="0" w:color="auto"/>
        <w:left w:val="none" w:sz="0" w:space="0" w:color="auto"/>
        <w:bottom w:val="none" w:sz="0" w:space="0" w:color="auto"/>
        <w:right w:val="none" w:sz="0" w:space="0" w:color="auto"/>
      </w:divBdr>
    </w:div>
    <w:div w:id="1442412384">
      <w:bodyDiv w:val="1"/>
      <w:marLeft w:val="0"/>
      <w:marRight w:val="0"/>
      <w:marTop w:val="0"/>
      <w:marBottom w:val="0"/>
      <w:divBdr>
        <w:top w:val="none" w:sz="0" w:space="0" w:color="auto"/>
        <w:left w:val="none" w:sz="0" w:space="0" w:color="auto"/>
        <w:bottom w:val="none" w:sz="0" w:space="0" w:color="auto"/>
        <w:right w:val="none" w:sz="0" w:space="0" w:color="auto"/>
      </w:divBdr>
    </w:div>
    <w:div w:id="1447850291">
      <w:bodyDiv w:val="1"/>
      <w:marLeft w:val="0"/>
      <w:marRight w:val="0"/>
      <w:marTop w:val="0"/>
      <w:marBottom w:val="0"/>
      <w:divBdr>
        <w:top w:val="none" w:sz="0" w:space="0" w:color="auto"/>
        <w:left w:val="none" w:sz="0" w:space="0" w:color="auto"/>
        <w:bottom w:val="none" w:sz="0" w:space="0" w:color="auto"/>
        <w:right w:val="none" w:sz="0" w:space="0" w:color="auto"/>
      </w:divBdr>
    </w:div>
    <w:div w:id="1460681307">
      <w:bodyDiv w:val="1"/>
      <w:marLeft w:val="0"/>
      <w:marRight w:val="0"/>
      <w:marTop w:val="0"/>
      <w:marBottom w:val="0"/>
      <w:divBdr>
        <w:top w:val="none" w:sz="0" w:space="0" w:color="auto"/>
        <w:left w:val="none" w:sz="0" w:space="0" w:color="auto"/>
        <w:bottom w:val="none" w:sz="0" w:space="0" w:color="auto"/>
        <w:right w:val="none" w:sz="0" w:space="0" w:color="auto"/>
      </w:divBdr>
    </w:div>
    <w:div w:id="1478185371">
      <w:bodyDiv w:val="1"/>
      <w:marLeft w:val="0"/>
      <w:marRight w:val="0"/>
      <w:marTop w:val="0"/>
      <w:marBottom w:val="0"/>
      <w:divBdr>
        <w:top w:val="none" w:sz="0" w:space="0" w:color="auto"/>
        <w:left w:val="none" w:sz="0" w:space="0" w:color="auto"/>
        <w:bottom w:val="none" w:sz="0" w:space="0" w:color="auto"/>
        <w:right w:val="none" w:sz="0" w:space="0" w:color="auto"/>
      </w:divBdr>
    </w:div>
    <w:div w:id="1486699571">
      <w:bodyDiv w:val="1"/>
      <w:marLeft w:val="0"/>
      <w:marRight w:val="0"/>
      <w:marTop w:val="0"/>
      <w:marBottom w:val="0"/>
      <w:divBdr>
        <w:top w:val="none" w:sz="0" w:space="0" w:color="auto"/>
        <w:left w:val="none" w:sz="0" w:space="0" w:color="auto"/>
        <w:bottom w:val="none" w:sz="0" w:space="0" w:color="auto"/>
        <w:right w:val="none" w:sz="0" w:space="0" w:color="auto"/>
      </w:divBdr>
    </w:div>
    <w:div w:id="1525552872">
      <w:bodyDiv w:val="1"/>
      <w:marLeft w:val="0"/>
      <w:marRight w:val="0"/>
      <w:marTop w:val="0"/>
      <w:marBottom w:val="0"/>
      <w:divBdr>
        <w:top w:val="none" w:sz="0" w:space="0" w:color="auto"/>
        <w:left w:val="none" w:sz="0" w:space="0" w:color="auto"/>
        <w:bottom w:val="none" w:sz="0" w:space="0" w:color="auto"/>
        <w:right w:val="none" w:sz="0" w:space="0" w:color="auto"/>
      </w:divBdr>
    </w:div>
    <w:div w:id="1586842063">
      <w:bodyDiv w:val="1"/>
      <w:marLeft w:val="0"/>
      <w:marRight w:val="0"/>
      <w:marTop w:val="0"/>
      <w:marBottom w:val="0"/>
      <w:divBdr>
        <w:top w:val="none" w:sz="0" w:space="0" w:color="auto"/>
        <w:left w:val="none" w:sz="0" w:space="0" w:color="auto"/>
        <w:bottom w:val="none" w:sz="0" w:space="0" w:color="auto"/>
        <w:right w:val="none" w:sz="0" w:space="0" w:color="auto"/>
      </w:divBdr>
    </w:div>
    <w:div w:id="1594434012">
      <w:bodyDiv w:val="1"/>
      <w:marLeft w:val="0"/>
      <w:marRight w:val="0"/>
      <w:marTop w:val="0"/>
      <w:marBottom w:val="0"/>
      <w:divBdr>
        <w:top w:val="none" w:sz="0" w:space="0" w:color="auto"/>
        <w:left w:val="none" w:sz="0" w:space="0" w:color="auto"/>
        <w:bottom w:val="none" w:sz="0" w:space="0" w:color="auto"/>
        <w:right w:val="none" w:sz="0" w:space="0" w:color="auto"/>
      </w:divBdr>
    </w:div>
    <w:div w:id="1610115764">
      <w:bodyDiv w:val="1"/>
      <w:marLeft w:val="0"/>
      <w:marRight w:val="0"/>
      <w:marTop w:val="0"/>
      <w:marBottom w:val="0"/>
      <w:divBdr>
        <w:top w:val="none" w:sz="0" w:space="0" w:color="auto"/>
        <w:left w:val="none" w:sz="0" w:space="0" w:color="auto"/>
        <w:bottom w:val="none" w:sz="0" w:space="0" w:color="auto"/>
        <w:right w:val="none" w:sz="0" w:space="0" w:color="auto"/>
      </w:divBdr>
    </w:div>
    <w:div w:id="1710452116">
      <w:bodyDiv w:val="1"/>
      <w:marLeft w:val="0"/>
      <w:marRight w:val="0"/>
      <w:marTop w:val="0"/>
      <w:marBottom w:val="0"/>
      <w:divBdr>
        <w:top w:val="none" w:sz="0" w:space="0" w:color="auto"/>
        <w:left w:val="none" w:sz="0" w:space="0" w:color="auto"/>
        <w:bottom w:val="none" w:sz="0" w:space="0" w:color="auto"/>
        <w:right w:val="none" w:sz="0" w:space="0" w:color="auto"/>
      </w:divBdr>
    </w:div>
    <w:div w:id="1758135597">
      <w:bodyDiv w:val="1"/>
      <w:marLeft w:val="0"/>
      <w:marRight w:val="0"/>
      <w:marTop w:val="0"/>
      <w:marBottom w:val="0"/>
      <w:divBdr>
        <w:top w:val="none" w:sz="0" w:space="0" w:color="auto"/>
        <w:left w:val="none" w:sz="0" w:space="0" w:color="auto"/>
        <w:bottom w:val="none" w:sz="0" w:space="0" w:color="auto"/>
        <w:right w:val="none" w:sz="0" w:space="0" w:color="auto"/>
      </w:divBdr>
    </w:div>
    <w:div w:id="1778794766">
      <w:bodyDiv w:val="1"/>
      <w:marLeft w:val="0"/>
      <w:marRight w:val="0"/>
      <w:marTop w:val="0"/>
      <w:marBottom w:val="0"/>
      <w:divBdr>
        <w:top w:val="none" w:sz="0" w:space="0" w:color="auto"/>
        <w:left w:val="none" w:sz="0" w:space="0" w:color="auto"/>
        <w:bottom w:val="none" w:sz="0" w:space="0" w:color="auto"/>
        <w:right w:val="none" w:sz="0" w:space="0" w:color="auto"/>
      </w:divBdr>
    </w:div>
    <w:div w:id="1779642944">
      <w:bodyDiv w:val="1"/>
      <w:marLeft w:val="0"/>
      <w:marRight w:val="0"/>
      <w:marTop w:val="0"/>
      <w:marBottom w:val="0"/>
      <w:divBdr>
        <w:top w:val="none" w:sz="0" w:space="0" w:color="auto"/>
        <w:left w:val="none" w:sz="0" w:space="0" w:color="auto"/>
        <w:bottom w:val="none" w:sz="0" w:space="0" w:color="auto"/>
        <w:right w:val="none" w:sz="0" w:space="0" w:color="auto"/>
      </w:divBdr>
      <w:divsChild>
        <w:div w:id="453210269">
          <w:marLeft w:val="0"/>
          <w:marRight w:val="0"/>
          <w:marTop w:val="0"/>
          <w:marBottom w:val="0"/>
          <w:divBdr>
            <w:top w:val="none" w:sz="0" w:space="0" w:color="auto"/>
            <w:left w:val="none" w:sz="0" w:space="0" w:color="auto"/>
            <w:bottom w:val="none" w:sz="0" w:space="0" w:color="auto"/>
            <w:right w:val="none" w:sz="0" w:space="0" w:color="auto"/>
          </w:divBdr>
        </w:div>
      </w:divsChild>
    </w:div>
    <w:div w:id="1788811586">
      <w:bodyDiv w:val="1"/>
      <w:marLeft w:val="0"/>
      <w:marRight w:val="0"/>
      <w:marTop w:val="0"/>
      <w:marBottom w:val="0"/>
      <w:divBdr>
        <w:top w:val="none" w:sz="0" w:space="0" w:color="auto"/>
        <w:left w:val="none" w:sz="0" w:space="0" w:color="auto"/>
        <w:bottom w:val="none" w:sz="0" w:space="0" w:color="auto"/>
        <w:right w:val="none" w:sz="0" w:space="0" w:color="auto"/>
      </w:divBdr>
    </w:div>
    <w:div w:id="1890410644">
      <w:bodyDiv w:val="1"/>
      <w:marLeft w:val="0"/>
      <w:marRight w:val="0"/>
      <w:marTop w:val="0"/>
      <w:marBottom w:val="0"/>
      <w:divBdr>
        <w:top w:val="none" w:sz="0" w:space="0" w:color="auto"/>
        <w:left w:val="none" w:sz="0" w:space="0" w:color="auto"/>
        <w:bottom w:val="none" w:sz="0" w:space="0" w:color="auto"/>
        <w:right w:val="none" w:sz="0" w:space="0" w:color="auto"/>
      </w:divBdr>
    </w:div>
    <w:div w:id="1891762470">
      <w:bodyDiv w:val="1"/>
      <w:marLeft w:val="0"/>
      <w:marRight w:val="0"/>
      <w:marTop w:val="0"/>
      <w:marBottom w:val="0"/>
      <w:divBdr>
        <w:top w:val="none" w:sz="0" w:space="0" w:color="auto"/>
        <w:left w:val="none" w:sz="0" w:space="0" w:color="auto"/>
        <w:bottom w:val="none" w:sz="0" w:space="0" w:color="auto"/>
        <w:right w:val="none" w:sz="0" w:space="0" w:color="auto"/>
      </w:divBdr>
    </w:div>
    <w:div w:id="1903058815">
      <w:bodyDiv w:val="1"/>
      <w:marLeft w:val="0"/>
      <w:marRight w:val="0"/>
      <w:marTop w:val="0"/>
      <w:marBottom w:val="0"/>
      <w:divBdr>
        <w:top w:val="none" w:sz="0" w:space="0" w:color="auto"/>
        <w:left w:val="none" w:sz="0" w:space="0" w:color="auto"/>
        <w:bottom w:val="none" w:sz="0" w:space="0" w:color="auto"/>
        <w:right w:val="none" w:sz="0" w:space="0" w:color="auto"/>
      </w:divBdr>
    </w:div>
    <w:div w:id="1913462818">
      <w:bodyDiv w:val="1"/>
      <w:marLeft w:val="0"/>
      <w:marRight w:val="0"/>
      <w:marTop w:val="0"/>
      <w:marBottom w:val="0"/>
      <w:divBdr>
        <w:top w:val="none" w:sz="0" w:space="0" w:color="auto"/>
        <w:left w:val="none" w:sz="0" w:space="0" w:color="auto"/>
        <w:bottom w:val="none" w:sz="0" w:space="0" w:color="auto"/>
        <w:right w:val="none" w:sz="0" w:space="0" w:color="auto"/>
      </w:divBdr>
    </w:div>
    <w:div w:id="1970817264">
      <w:bodyDiv w:val="1"/>
      <w:marLeft w:val="0"/>
      <w:marRight w:val="0"/>
      <w:marTop w:val="0"/>
      <w:marBottom w:val="0"/>
      <w:divBdr>
        <w:top w:val="none" w:sz="0" w:space="0" w:color="auto"/>
        <w:left w:val="none" w:sz="0" w:space="0" w:color="auto"/>
        <w:bottom w:val="none" w:sz="0" w:space="0" w:color="auto"/>
        <w:right w:val="none" w:sz="0" w:space="0" w:color="auto"/>
      </w:divBdr>
    </w:div>
    <w:div w:id="2001420828">
      <w:bodyDiv w:val="1"/>
      <w:marLeft w:val="0"/>
      <w:marRight w:val="0"/>
      <w:marTop w:val="0"/>
      <w:marBottom w:val="0"/>
      <w:divBdr>
        <w:top w:val="none" w:sz="0" w:space="0" w:color="auto"/>
        <w:left w:val="none" w:sz="0" w:space="0" w:color="auto"/>
        <w:bottom w:val="none" w:sz="0" w:space="0" w:color="auto"/>
        <w:right w:val="none" w:sz="0" w:space="0" w:color="auto"/>
      </w:divBdr>
    </w:div>
    <w:div w:id="2028285605">
      <w:bodyDiv w:val="1"/>
      <w:marLeft w:val="0"/>
      <w:marRight w:val="0"/>
      <w:marTop w:val="0"/>
      <w:marBottom w:val="0"/>
      <w:divBdr>
        <w:top w:val="none" w:sz="0" w:space="0" w:color="auto"/>
        <w:left w:val="none" w:sz="0" w:space="0" w:color="auto"/>
        <w:bottom w:val="none" w:sz="0" w:space="0" w:color="auto"/>
        <w:right w:val="none" w:sz="0" w:space="0" w:color="auto"/>
      </w:divBdr>
    </w:div>
    <w:div w:id="2029865904">
      <w:bodyDiv w:val="1"/>
      <w:marLeft w:val="0"/>
      <w:marRight w:val="0"/>
      <w:marTop w:val="0"/>
      <w:marBottom w:val="0"/>
      <w:divBdr>
        <w:top w:val="none" w:sz="0" w:space="0" w:color="auto"/>
        <w:left w:val="none" w:sz="0" w:space="0" w:color="auto"/>
        <w:bottom w:val="none" w:sz="0" w:space="0" w:color="auto"/>
        <w:right w:val="none" w:sz="0" w:space="0" w:color="auto"/>
      </w:divBdr>
    </w:div>
    <w:div w:id="2044598134">
      <w:bodyDiv w:val="1"/>
      <w:marLeft w:val="0"/>
      <w:marRight w:val="0"/>
      <w:marTop w:val="0"/>
      <w:marBottom w:val="0"/>
      <w:divBdr>
        <w:top w:val="none" w:sz="0" w:space="0" w:color="auto"/>
        <w:left w:val="none" w:sz="0" w:space="0" w:color="auto"/>
        <w:bottom w:val="none" w:sz="0" w:space="0" w:color="auto"/>
        <w:right w:val="none" w:sz="0" w:space="0" w:color="auto"/>
      </w:divBdr>
    </w:div>
    <w:div w:id="205608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ruppoiren.it/area-medi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gruppoiren.it/hom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ruppoiren.it/company-profile"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ruppoiren.it/investitori"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86ffd-54c8-4994-8079-9ccf37119916">
      <Terms xmlns="http://schemas.microsoft.com/office/infopath/2007/PartnerControls"/>
    </lcf76f155ced4ddcb4097134ff3c332f>
    <TaxCatchAll xmlns="3c2bdfb0-8c25-4da0-8799-9c2a8683a24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AE53C77E46F3234DB317A34298CC8973" ma:contentTypeVersion="16" ma:contentTypeDescription="Creare un nuovo documento." ma:contentTypeScope="" ma:versionID="bd77e278e0d396e7894e6388f53b4bc6">
  <xsd:schema xmlns:xsd="http://www.w3.org/2001/XMLSchema" xmlns:xs="http://www.w3.org/2001/XMLSchema" xmlns:p="http://schemas.microsoft.com/office/2006/metadata/properties" xmlns:ns2="d1686ffd-54c8-4994-8079-9ccf37119916" xmlns:ns3="3c2bdfb0-8c25-4da0-8799-9c2a8683a240" targetNamespace="http://schemas.microsoft.com/office/2006/metadata/properties" ma:root="true" ma:fieldsID="c9256ad3deed269617e1c30fcbdaa175" ns2:_="" ns3:_="">
    <xsd:import namespace="d1686ffd-54c8-4994-8079-9ccf37119916"/>
    <xsd:import namespace="3c2bdfb0-8c25-4da0-8799-9c2a8683a2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86ffd-54c8-4994-8079-9ccf37119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f284692d-b93e-4877-af4a-7d75ab3bd3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bdfb0-8c25-4da0-8799-9c2a8683a24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5c2e36d-333c-4a46-ad59-18ab9e4bd94f}" ma:internalName="TaxCatchAll" ma:showField="CatchAllData" ma:web="3c2bdfb0-8c25-4da0-8799-9c2a8683a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F90CDE-E77D-4FDA-92AF-3E5C13CD6C31}">
  <ds:schemaRefs>
    <ds:schemaRef ds:uri="http://schemas.microsoft.com/office/2006/metadata/properties"/>
    <ds:schemaRef ds:uri="http://schemas.microsoft.com/office/infopath/2007/PartnerControls"/>
    <ds:schemaRef ds:uri="d1686ffd-54c8-4994-8079-9ccf37119916"/>
    <ds:schemaRef ds:uri="3c2bdfb0-8c25-4da0-8799-9c2a8683a240"/>
  </ds:schemaRefs>
</ds:datastoreItem>
</file>

<file path=customXml/itemProps2.xml><?xml version="1.0" encoding="utf-8"?>
<ds:datastoreItem xmlns:ds="http://schemas.openxmlformats.org/officeDocument/2006/customXml" ds:itemID="{4709D2B9-415D-4B22-80CF-BE2FA68F95FC}">
  <ds:schemaRefs>
    <ds:schemaRef ds:uri="http://schemas.openxmlformats.org/officeDocument/2006/bibliography"/>
  </ds:schemaRefs>
</ds:datastoreItem>
</file>

<file path=customXml/itemProps3.xml><?xml version="1.0" encoding="utf-8"?>
<ds:datastoreItem xmlns:ds="http://schemas.openxmlformats.org/officeDocument/2006/customXml" ds:itemID="{2DA23A8B-CF6F-4AB5-889A-75E8EF788940}">
  <ds:schemaRefs>
    <ds:schemaRef ds:uri="http://schemas.openxmlformats.org/officeDocument/2006/bibliography"/>
  </ds:schemaRefs>
</ds:datastoreItem>
</file>

<file path=customXml/itemProps4.xml><?xml version="1.0" encoding="utf-8"?>
<ds:datastoreItem xmlns:ds="http://schemas.openxmlformats.org/officeDocument/2006/customXml" ds:itemID="{7085801D-936D-4FE9-AA5D-2460B21B7547}">
  <ds:schemaRefs>
    <ds:schemaRef ds:uri="http://schemas.microsoft.com/sharepoint/v3/contenttype/forms"/>
  </ds:schemaRefs>
</ds:datastoreItem>
</file>

<file path=customXml/itemProps5.xml><?xml version="1.0" encoding="utf-8"?>
<ds:datastoreItem xmlns:ds="http://schemas.openxmlformats.org/officeDocument/2006/customXml" ds:itemID="{F3D58A88-323F-4180-8A16-E9A689763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86ffd-54c8-4994-8079-9ccf37119916"/>
    <ds:schemaRef ds:uri="3c2bdfb0-8c25-4da0-8799-9c2a8683a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11</Pages>
  <Words>4411</Words>
  <Characters>26159</Characters>
  <Application>Microsoft Office Word</Application>
  <DocSecurity>0</DocSecurity>
  <Lines>726</Lines>
  <Paragraphs>509</Paragraphs>
  <ScaleCrop>false</ScaleCrop>
  <HeadingPairs>
    <vt:vector size="2" baseType="variant">
      <vt:variant>
        <vt:lpstr>Titolo</vt:lpstr>
      </vt:variant>
      <vt:variant>
        <vt:i4>1</vt:i4>
      </vt:variant>
    </vt:vector>
  </HeadingPairs>
  <TitlesOfParts>
    <vt:vector size="1" baseType="lpstr">
      <vt:lpstr>COMUNICATO STAMPA</vt:lpstr>
    </vt:vector>
  </TitlesOfParts>
  <Company>Enìa SPA</Company>
  <LinksUpToDate>false</LinksUpToDate>
  <CharactersWithSpaces>30061</CharactersWithSpaces>
  <SharedDoc>false</SharedDoc>
  <HLinks>
    <vt:vector size="24" baseType="variant">
      <vt:variant>
        <vt:i4>5963796</vt:i4>
      </vt:variant>
      <vt:variant>
        <vt:i4>9</vt:i4>
      </vt:variant>
      <vt:variant>
        <vt:i4>0</vt:i4>
      </vt:variant>
      <vt:variant>
        <vt:i4>5</vt:i4>
      </vt:variant>
      <vt:variant>
        <vt:lpwstr>https://www.gruppoiren.it/company-profile</vt:lpwstr>
      </vt:variant>
      <vt:variant>
        <vt:lpwstr/>
      </vt:variant>
      <vt:variant>
        <vt:i4>393246</vt:i4>
      </vt:variant>
      <vt:variant>
        <vt:i4>6</vt:i4>
      </vt:variant>
      <vt:variant>
        <vt:i4>0</vt:i4>
      </vt:variant>
      <vt:variant>
        <vt:i4>5</vt:i4>
      </vt:variant>
      <vt:variant>
        <vt:lpwstr>https://www.gruppoiren.it/investitori</vt:lpwstr>
      </vt:variant>
      <vt:variant>
        <vt:lpwstr/>
      </vt:variant>
      <vt:variant>
        <vt:i4>262225</vt:i4>
      </vt:variant>
      <vt:variant>
        <vt:i4>3</vt:i4>
      </vt:variant>
      <vt:variant>
        <vt:i4>0</vt:i4>
      </vt:variant>
      <vt:variant>
        <vt:i4>5</vt:i4>
      </vt:variant>
      <vt:variant>
        <vt:lpwstr>https://www.gruppoiren.it/area-media</vt:lpwstr>
      </vt:variant>
      <vt:variant>
        <vt:lpwstr/>
      </vt:variant>
      <vt:variant>
        <vt:i4>7667825</vt:i4>
      </vt:variant>
      <vt:variant>
        <vt:i4>0</vt:i4>
      </vt:variant>
      <vt:variant>
        <vt:i4>0</vt:i4>
      </vt:variant>
      <vt:variant>
        <vt:i4>5</vt:i4>
      </vt:variant>
      <vt:variant>
        <vt:lpwstr>https://www.gruppoiren.it/home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xerras</dc:creator>
  <cp:keywords/>
  <cp:lastModifiedBy>Scarrone Carlotta</cp:lastModifiedBy>
  <cp:revision>135</cp:revision>
  <cp:lastPrinted>2022-07-30T18:31:00Z</cp:lastPrinted>
  <dcterms:created xsi:type="dcterms:W3CDTF">2025-11-08T15:42:00Z</dcterms:created>
  <dcterms:modified xsi:type="dcterms:W3CDTF">2025-11-13T10:04:00Z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0x010100AE53C77E46F3234DB317A34298CC8973</vt:lpwstr>
  </property>
  <property fmtid="{D5CDD505-2E9C-101B-9397-08002B2CF9AE}" pid="3" name="MediaServiceImageTags">
    <vt:lpwstr/>
  </property>
  <property fmtid="{D5CDD505-2E9C-101B-9397-08002B2CF9AE}" pid="4" name="docLang">
    <vt:lpwstr>it</vt:lpwstr>
  </property>
</Properties>
</file>